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C806DF" w14:textId="77777777" w:rsidR="000D09B1" w:rsidRPr="00CD7FBE" w:rsidRDefault="000D09B1" w:rsidP="00603F3F">
      <w:pPr>
        <w:widowControl w:val="0"/>
        <w:spacing w:after="0"/>
        <w:jc w:val="center"/>
        <w:rPr>
          <w:rFonts w:ascii="Times New Roman" w:hAnsi="Times New Roman"/>
          <w:b/>
          <w:sz w:val="20"/>
          <w:szCs w:val="20"/>
        </w:rPr>
      </w:pPr>
      <w:r w:rsidRPr="00CD7FBE">
        <w:rPr>
          <w:rFonts w:ascii="Times New Roman" w:hAnsi="Times New Roman"/>
          <w:b/>
          <w:sz w:val="20"/>
          <w:szCs w:val="20"/>
        </w:rPr>
        <w:t>Modello di Organizzazione, Gestione e Controllo</w:t>
      </w:r>
    </w:p>
    <w:p w14:paraId="53BC78B2" w14:textId="24A0A348" w:rsidR="000759FD" w:rsidRPr="00CD7FBE" w:rsidRDefault="000D09B1" w:rsidP="00603F3F">
      <w:pPr>
        <w:widowControl w:val="0"/>
        <w:spacing w:after="0"/>
        <w:jc w:val="center"/>
        <w:rPr>
          <w:rFonts w:ascii="Times New Roman" w:hAnsi="Times New Roman"/>
          <w:sz w:val="20"/>
          <w:szCs w:val="20"/>
        </w:rPr>
      </w:pPr>
      <w:r w:rsidRPr="00CD7FBE">
        <w:rPr>
          <w:rFonts w:ascii="Times New Roman" w:hAnsi="Times New Roman"/>
          <w:sz w:val="20"/>
          <w:szCs w:val="20"/>
        </w:rPr>
        <w:t>Ai sensi dell’a</w:t>
      </w:r>
      <w:r w:rsidR="007F5ACA" w:rsidRPr="00CD7FBE">
        <w:rPr>
          <w:rFonts w:ascii="Times New Roman" w:hAnsi="Times New Roman"/>
          <w:sz w:val="20"/>
          <w:szCs w:val="20"/>
        </w:rPr>
        <w:t xml:space="preserve">rt. 6, comma 1, lett. A) del </w:t>
      </w:r>
      <w:r w:rsidR="003F0916">
        <w:rPr>
          <w:rFonts w:ascii="Times New Roman" w:hAnsi="Times New Roman"/>
          <w:sz w:val="20"/>
          <w:szCs w:val="20"/>
        </w:rPr>
        <w:t>D.</w:t>
      </w:r>
      <w:r w:rsidR="00E51DD1">
        <w:rPr>
          <w:rFonts w:ascii="Times New Roman" w:hAnsi="Times New Roman"/>
          <w:sz w:val="20"/>
          <w:szCs w:val="20"/>
        </w:rPr>
        <w:t>Lgs</w:t>
      </w:r>
      <w:r w:rsidR="001B71BA" w:rsidRPr="00CD7FBE">
        <w:rPr>
          <w:rFonts w:ascii="Times New Roman" w:hAnsi="Times New Roman"/>
          <w:sz w:val="20"/>
          <w:szCs w:val="20"/>
        </w:rPr>
        <w:t xml:space="preserve">. </w:t>
      </w:r>
      <w:r w:rsidR="007F5ACA" w:rsidRPr="00CD7FBE">
        <w:rPr>
          <w:rFonts w:ascii="Times New Roman" w:hAnsi="Times New Roman"/>
          <w:sz w:val="20"/>
          <w:szCs w:val="20"/>
        </w:rPr>
        <w:t>n</w:t>
      </w:r>
      <w:r w:rsidRPr="00CD7FBE">
        <w:rPr>
          <w:rFonts w:ascii="Times New Roman" w:hAnsi="Times New Roman"/>
          <w:sz w:val="20"/>
          <w:szCs w:val="20"/>
        </w:rPr>
        <w:t>. 231 dell’8 giugno 2001</w:t>
      </w:r>
      <w:r w:rsidR="00FB6EB4">
        <w:rPr>
          <w:rFonts w:ascii="Times New Roman" w:hAnsi="Times New Roman"/>
          <w:sz w:val="20"/>
          <w:szCs w:val="20"/>
        </w:rPr>
        <w:t>,</w:t>
      </w:r>
    </w:p>
    <w:p w14:paraId="006F1CC9" w14:textId="77777777" w:rsidR="000759FD" w:rsidRPr="00CD7FBE" w:rsidRDefault="007F5ACA" w:rsidP="00603F3F">
      <w:pPr>
        <w:widowControl w:val="0"/>
        <w:spacing w:after="0"/>
        <w:jc w:val="center"/>
        <w:rPr>
          <w:rFonts w:ascii="Times New Roman" w:hAnsi="Times New Roman"/>
          <w:sz w:val="20"/>
          <w:szCs w:val="20"/>
        </w:rPr>
      </w:pPr>
      <w:r w:rsidRPr="00CD7FBE">
        <w:rPr>
          <w:rFonts w:ascii="Times New Roman" w:hAnsi="Times New Roman"/>
          <w:sz w:val="20"/>
          <w:szCs w:val="20"/>
        </w:rPr>
        <w:t>i</w:t>
      </w:r>
      <w:r w:rsidR="000D09B1" w:rsidRPr="00CD7FBE">
        <w:rPr>
          <w:rFonts w:ascii="Times New Roman" w:hAnsi="Times New Roman"/>
          <w:sz w:val="20"/>
          <w:szCs w:val="20"/>
        </w:rPr>
        <w:t>ntegrato ai sensi del par. 3.1.1. del</w:t>
      </w:r>
      <w:r w:rsidR="00FB6EB4">
        <w:rPr>
          <w:rFonts w:ascii="Times New Roman" w:hAnsi="Times New Roman"/>
          <w:sz w:val="20"/>
          <w:szCs w:val="20"/>
        </w:rPr>
        <w:t xml:space="preserve"> Piano Nazionale Anticorruzione</w:t>
      </w:r>
    </w:p>
    <w:p w14:paraId="41AFEF83" w14:textId="77777777" w:rsidR="000D09B1" w:rsidRPr="00CD7FBE" w:rsidRDefault="000D09B1" w:rsidP="00603F3F">
      <w:pPr>
        <w:widowControl w:val="0"/>
        <w:spacing w:after="0"/>
        <w:jc w:val="center"/>
        <w:rPr>
          <w:rFonts w:ascii="Times New Roman" w:hAnsi="Times New Roman"/>
          <w:sz w:val="20"/>
          <w:szCs w:val="20"/>
        </w:rPr>
      </w:pPr>
      <w:r w:rsidRPr="00CD7FBE">
        <w:rPr>
          <w:rFonts w:ascii="Times New Roman" w:hAnsi="Times New Roman"/>
          <w:sz w:val="20"/>
          <w:szCs w:val="20"/>
        </w:rPr>
        <w:t>con la L. 190/2012 e Decreti Collegati</w:t>
      </w:r>
    </w:p>
    <w:p w14:paraId="158439AE" w14:textId="77777777" w:rsidR="008746DE" w:rsidRPr="00CD7FBE" w:rsidRDefault="008746DE" w:rsidP="00603F3F">
      <w:pPr>
        <w:widowControl w:val="0"/>
        <w:spacing w:after="0"/>
        <w:jc w:val="center"/>
        <w:rPr>
          <w:rFonts w:ascii="Times New Roman" w:hAnsi="Times New Roman"/>
          <w:sz w:val="20"/>
          <w:szCs w:val="20"/>
        </w:rPr>
      </w:pPr>
    </w:p>
    <w:p w14:paraId="0CA572EC" w14:textId="77777777" w:rsidR="00450A6C" w:rsidRPr="00CD7FBE" w:rsidRDefault="00450A6C" w:rsidP="00603F3F">
      <w:pPr>
        <w:widowControl w:val="0"/>
        <w:spacing w:after="0"/>
        <w:jc w:val="center"/>
        <w:rPr>
          <w:rFonts w:ascii="Times New Roman" w:hAnsi="Times New Roman"/>
          <w:sz w:val="20"/>
          <w:szCs w:val="20"/>
        </w:rPr>
      </w:pPr>
    </w:p>
    <w:p w14:paraId="42368FBE" w14:textId="77777777" w:rsidR="00F24E5E" w:rsidRPr="00CD7FBE" w:rsidRDefault="00F24E5E" w:rsidP="00603F3F">
      <w:pPr>
        <w:widowControl w:val="0"/>
        <w:spacing w:after="0"/>
        <w:jc w:val="center"/>
        <w:rPr>
          <w:rFonts w:ascii="Times New Roman" w:hAnsi="Times New Roman"/>
          <w:sz w:val="20"/>
          <w:szCs w:val="20"/>
        </w:rPr>
      </w:pPr>
    </w:p>
    <w:p w14:paraId="423534DB" w14:textId="77777777" w:rsidR="00F24E5E" w:rsidRPr="00CD7FBE" w:rsidRDefault="00F24E5E" w:rsidP="00603F3F">
      <w:pPr>
        <w:widowControl w:val="0"/>
        <w:spacing w:after="0"/>
        <w:jc w:val="center"/>
        <w:rPr>
          <w:rFonts w:ascii="Times New Roman" w:hAnsi="Times New Roman"/>
          <w:sz w:val="20"/>
          <w:szCs w:val="20"/>
        </w:rPr>
      </w:pPr>
    </w:p>
    <w:p w14:paraId="0E397E51" w14:textId="77777777" w:rsidR="00450A6C" w:rsidRPr="00CD7FBE" w:rsidRDefault="00450A6C" w:rsidP="00603F3F">
      <w:pPr>
        <w:widowControl w:val="0"/>
        <w:spacing w:after="0"/>
        <w:jc w:val="center"/>
        <w:rPr>
          <w:rFonts w:ascii="Times New Roman" w:eastAsia="Times New Roman" w:hAnsi="Times New Roman"/>
          <w:bCs/>
          <w:color w:val="0070C0"/>
          <w:kern w:val="32"/>
          <w:sz w:val="40"/>
          <w:szCs w:val="40"/>
          <w:lang w:val="x-none"/>
        </w:rPr>
      </w:pPr>
      <w:r w:rsidRPr="00CD7FBE">
        <w:rPr>
          <w:rFonts w:ascii="Times New Roman" w:eastAsia="Times New Roman" w:hAnsi="Times New Roman"/>
          <w:bCs/>
          <w:color w:val="0070C0"/>
          <w:kern w:val="32"/>
          <w:sz w:val="40"/>
          <w:szCs w:val="40"/>
          <w:lang w:val="x-none"/>
        </w:rPr>
        <w:t>Parte Speciale</w:t>
      </w:r>
    </w:p>
    <w:p w14:paraId="4EAFAB36" w14:textId="77777777" w:rsidR="00450A6C" w:rsidRPr="00CD7FBE" w:rsidRDefault="00450A6C" w:rsidP="00603F3F">
      <w:pPr>
        <w:widowControl w:val="0"/>
        <w:spacing w:after="0"/>
        <w:jc w:val="center"/>
        <w:rPr>
          <w:rFonts w:ascii="Times New Roman" w:eastAsia="Times New Roman" w:hAnsi="Times New Roman"/>
          <w:bCs/>
          <w:color w:val="0070C0"/>
          <w:kern w:val="32"/>
          <w:sz w:val="40"/>
          <w:szCs w:val="40"/>
          <w:lang w:val="x-none"/>
        </w:rPr>
      </w:pPr>
      <w:r w:rsidRPr="00CD7FBE">
        <w:rPr>
          <w:rFonts w:ascii="Times New Roman" w:eastAsia="Times New Roman" w:hAnsi="Times New Roman"/>
          <w:bCs/>
          <w:color w:val="0070C0"/>
          <w:kern w:val="32"/>
          <w:sz w:val="40"/>
          <w:szCs w:val="40"/>
          <w:lang w:val="x-none"/>
        </w:rPr>
        <w:t>Allegato n. 4</w:t>
      </w:r>
    </w:p>
    <w:p w14:paraId="444822E3" w14:textId="77777777" w:rsidR="00450A6C" w:rsidRPr="00CD7FBE" w:rsidRDefault="00450A6C" w:rsidP="00603F3F">
      <w:pPr>
        <w:widowControl w:val="0"/>
        <w:spacing w:after="0"/>
        <w:jc w:val="center"/>
        <w:rPr>
          <w:rFonts w:ascii="Times New Roman" w:hAnsi="Times New Roman"/>
          <w:sz w:val="20"/>
          <w:szCs w:val="20"/>
        </w:rPr>
      </w:pPr>
    </w:p>
    <w:p w14:paraId="1E6F4A5D" w14:textId="77777777" w:rsidR="00450A6C" w:rsidRPr="00CD7FBE" w:rsidRDefault="00450A6C" w:rsidP="00603F3F">
      <w:pPr>
        <w:widowControl w:val="0"/>
        <w:spacing w:after="0"/>
        <w:jc w:val="center"/>
        <w:rPr>
          <w:rFonts w:ascii="Times New Roman" w:hAnsi="Times New Roman"/>
          <w:sz w:val="20"/>
          <w:szCs w:val="20"/>
        </w:rPr>
      </w:pPr>
    </w:p>
    <w:p w14:paraId="2E849AD7" w14:textId="77777777" w:rsidR="00450A6C" w:rsidRPr="00CD7FBE" w:rsidRDefault="00450A6C" w:rsidP="00603F3F">
      <w:pPr>
        <w:widowControl w:val="0"/>
        <w:spacing w:after="0"/>
        <w:jc w:val="center"/>
        <w:rPr>
          <w:rFonts w:ascii="Times New Roman" w:hAnsi="Times New Roman"/>
          <w:sz w:val="20"/>
          <w:szCs w:val="20"/>
        </w:rPr>
      </w:pPr>
    </w:p>
    <w:p w14:paraId="303507C4" w14:textId="77777777" w:rsidR="00450A6C" w:rsidRPr="00CD7FBE" w:rsidRDefault="00450A6C" w:rsidP="00603F3F">
      <w:pPr>
        <w:widowControl w:val="0"/>
        <w:spacing w:after="0"/>
        <w:jc w:val="center"/>
        <w:rPr>
          <w:rFonts w:ascii="Times New Roman" w:hAnsi="Times New Roman"/>
          <w:sz w:val="20"/>
          <w:szCs w:val="20"/>
        </w:rPr>
      </w:pPr>
    </w:p>
    <w:p w14:paraId="7D77C5FD" w14:textId="77777777" w:rsidR="00450A6C" w:rsidRPr="00CD7FBE" w:rsidRDefault="00450A6C" w:rsidP="00603F3F">
      <w:pPr>
        <w:widowControl w:val="0"/>
        <w:spacing w:after="0"/>
        <w:jc w:val="center"/>
        <w:rPr>
          <w:rFonts w:ascii="Times New Roman" w:hAnsi="Times New Roman"/>
          <w:sz w:val="20"/>
          <w:szCs w:val="20"/>
        </w:rPr>
      </w:pPr>
    </w:p>
    <w:p w14:paraId="76F3684D" w14:textId="77777777" w:rsidR="00450A6C" w:rsidRPr="00CD7FBE" w:rsidRDefault="00450A6C" w:rsidP="00603F3F">
      <w:pPr>
        <w:widowControl w:val="0"/>
        <w:spacing w:after="0"/>
        <w:jc w:val="center"/>
        <w:rPr>
          <w:rFonts w:ascii="Times New Roman" w:hAnsi="Times New Roman"/>
          <w:sz w:val="20"/>
          <w:szCs w:val="20"/>
        </w:rPr>
      </w:pPr>
    </w:p>
    <w:p w14:paraId="72F559AA" w14:textId="77777777" w:rsidR="00450A6C" w:rsidRPr="00CD7FBE" w:rsidRDefault="00450A6C" w:rsidP="00603F3F">
      <w:pPr>
        <w:widowControl w:val="0"/>
        <w:spacing w:after="0"/>
        <w:jc w:val="center"/>
        <w:rPr>
          <w:rFonts w:ascii="Times New Roman" w:hAnsi="Times New Roman"/>
          <w:sz w:val="20"/>
          <w:szCs w:val="20"/>
        </w:rPr>
      </w:pPr>
    </w:p>
    <w:p w14:paraId="497DCD29" w14:textId="77777777" w:rsidR="007F5ACA" w:rsidRPr="00CD7FBE" w:rsidRDefault="007F5ACA" w:rsidP="00603F3F">
      <w:pPr>
        <w:widowControl w:val="0"/>
        <w:spacing w:after="0"/>
        <w:jc w:val="center"/>
        <w:rPr>
          <w:rFonts w:ascii="Times New Roman" w:hAnsi="Times New Roman"/>
          <w:sz w:val="20"/>
          <w:szCs w:val="20"/>
        </w:rPr>
      </w:pPr>
    </w:p>
    <w:p w14:paraId="7A348837" w14:textId="77777777" w:rsidR="007F5ACA" w:rsidRPr="00CD7FBE" w:rsidRDefault="007F5ACA" w:rsidP="00603F3F">
      <w:pPr>
        <w:widowControl w:val="0"/>
        <w:spacing w:after="0"/>
        <w:jc w:val="center"/>
        <w:rPr>
          <w:rFonts w:ascii="Times New Roman" w:hAnsi="Times New Roman"/>
          <w:sz w:val="20"/>
          <w:szCs w:val="20"/>
        </w:rPr>
      </w:pPr>
    </w:p>
    <w:p w14:paraId="4C5A9C84" w14:textId="77777777" w:rsidR="0037299E" w:rsidRPr="00CD7FBE" w:rsidRDefault="0037299E" w:rsidP="00603F3F">
      <w:pPr>
        <w:widowControl w:val="0"/>
        <w:spacing w:after="0"/>
        <w:jc w:val="center"/>
        <w:rPr>
          <w:rFonts w:ascii="Times New Roman" w:hAnsi="Times New Roman"/>
          <w:sz w:val="20"/>
          <w:szCs w:val="20"/>
        </w:rPr>
      </w:pPr>
    </w:p>
    <w:p w14:paraId="4B335B94" w14:textId="77777777" w:rsidR="0037299E" w:rsidRPr="00CD7FBE" w:rsidRDefault="0037299E" w:rsidP="00603F3F">
      <w:pPr>
        <w:widowControl w:val="0"/>
        <w:spacing w:after="0"/>
        <w:jc w:val="center"/>
        <w:rPr>
          <w:rFonts w:ascii="Times New Roman" w:hAnsi="Times New Roman"/>
          <w:sz w:val="20"/>
          <w:szCs w:val="20"/>
        </w:rPr>
      </w:pPr>
    </w:p>
    <w:p w14:paraId="0C4D1EA0" w14:textId="77777777" w:rsidR="00190B90" w:rsidRPr="00CD7FBE" w:rsidRDefault="008746DE" w:rsidP="00603F3F">
      <w:pPr>
        <w:widowControl w:val="0"/>
        <w:spacing w:after="0"/>
        <w:jc w:val="center"/>
        <w:rPr>
          <w:rFonts w:ascii="Times New Roman" w:eastAsia="Times New Roman" w:hAnsi="Times New Roman"/>
          <w:bCs/>
          <w:color w:val="0070C0"/>
          <w:kern w:val="32"/>
          <w:sz w:val="40"/>
          <w:szCs w:val="40"/>
          <w:lang w:val="x-none"/>
        </w:rPr>
      </w:pPr>
      <w:r w:rsidRPr="00CD7FBE">
        <w:rPr>
          <w:rFonts w:ascii="Times New Roman" w:eastAsia="Times New Roman" w:hAnsi="Times New Roman"/>
          <w:bCs/>
          <w:color w:val="0070C0"/>
          <w:kern w:val="32"/>
          <w:sz w:val="40"/>
          <w:szCs w:val="40"/>
          <w:lang w:val="x-none"/>
        </w:rPr>
        <w:t xml:space="preserve">Piano Triennale </w:t>
      </w:r>
    </w:p>
    <w:p w14:paraId="059C9C25" w14:textId="77777777" w:rsidR="00064EEF" w:rsidRPr="00CD7FBE" w:rsidRDefault="008746DE" w:rsidP="00603F3F">
      <w:pPr>
        <w:widowControl w:val="0"/>
        <w:spacing w:after="0"/>
        <w:jc w:val="center"/>
        <w:rPr>
          <w:rFonts w:ascii="Times New Roman" w:eastAsia="Times New Roman" w:hAnsi="Times New Roman"/>
          <w:bCs/>
          <w:color w:val="0070C0"/>
          <w:kern w:val="32"/>
          <w:sz w:val="40"/>
          <w:szCs w:val="40"/>
          <w:lang w:val="x-none"/>
        </w:rPr>
      </w:pPr>
      <w:r w:rsidRPr="00CD7FBE">
        <w:rPr>
          <w:rFonts w:ascii="Times New Roman" w:eastAsia="Times New Roman" w:hAnsi="Times New Roman"/>
          <w:bCs/>
          <w:color w:val="0070C0"/>
          <w:kern w:val="32"/>
          <w:sz w:val="40"/>
          <w:szCs w:val="40"/>
          <w:lang w:val="x-none"/>
        </w:rPr>
        <w:t>per la Prevenzione della Corruzione</w:t>
      </w:r>
    </w:p>
    <w:p w14:paraId="641EFDDF" w14:textId="77777777" w:rsidR="00CD7FBE" w:rsidRPr="00CD7FBE" w:rsidRDefault="00064EEF" w:rsidP="00603F3F">
      <w:pPr>
        <w:widowControl w:val="0"/>
        <w:spacing w:after="0"/>
        <w:jc w:val="center"/>
        <w:rPr>
          <w:rFonts w:ascii="Times New Roman" w:eastAsia="Times New Roman" w:hAnsi="Times New Roman"/>
          <w:bCs/>
          <w:color w:val="0070C0"/>
          <w:kern w:val="32"/>
          <w:sz w:val="40"/>
          <w:szCs w:val="40"/>
        </w:rPr>
      </w:pPr>
      <w:r w:rsidRPr="00CD7FBE">
        <w:rPr>
          <w:rFonts w:ascii="Times New Roman" w:eastAsia="Times New Roman" w:hAnsi="Times New Roman"/>
          <w:bCs/>
          <w:color w:val="0070C0"/>
          <w:kern w:val="32"/>
          <w:sz w:val="40"/>
          <w:szCs w:val="40"/>
        </w:rPr>
        <w:t xml:space="preserve">e </w:t>
      </w:r>
    </w:p>
    <w:p w14:paraId="13FE4A54" w14:textId="77777777" w:rsidR="00064EEF" w:rsidRPr="00A91496" w:rsidRDefault="00064EEF" w:rsidP="00603F3F">
      <w:pPr>
        <w:widowControl w:val="0"/>
        <w:spacing w:after="0"/>
        <w:jc w:val="center"/>
        <w:rPr>
          <w:rFonts w:ascii="Times New Roman" w:eastAsia="Times New Roman" w:hAnsi="Times New Roman"/>
          <w:bCs/>
          <w:color w:val="0070C0"/>
          <w:kern w:val="32"/>
          <w:sz w:val="40"/>
          <w:szCs w:val="40"/>
        </w:rPr>
      </w:pPr>
      <w:r w:rsidRPr="00A91496">
        <w:rPr>
          <w:rFonts w:ascii="Times New Roman" w:eastAsia="Times New Roman" w:hAnsi="Times New Roman"/>
          <w:bCs/>
          <w:color w:val="0070C0"/>
          <w:kern w:val="32"/>
          <w:sz w:val="40"/>
          <w:szCs w:val="40"/>
        </w:rPr>
        <w:t xml:space="preserve">per la Trasparenza </w:t>
      </w:r>
    </w:p>
    <w:p w14:paraId="1D7624BA" w14:textId="77777777" w:rsidR="00CD7FBE" w:rsidRPr="00A91496" w:rsidRDefault="00CD7FBE" w:rsidP="00603F3F">
      <w:pPr>
        <w:widowControl w:val="0"/>
        <w:spacing w:after="0"/>
        <w:jc w:val="center"/>
        <w:rPr>
          <w:rFonts w:ascii="Times New Roman" w:eastAsia="Times New Roman" w:hAnsi="Times New Roman"/>
          <w:bCs/>
          <w:color w:val="0070C0"/>
          <w:kern w:val="32"/>
          <w:sz w:val="40"/>
          <w:szCs w:val="40"/>
          <w:lang w:val="x-none"/>
        </w:rPr>
      </w:pPr>
    </w:p>
    <w:p w14:paraId="586BAD7D" w14:textId="3293545E" w:rsidR="008746DE" w:rsidRPr="00553839" w:rsidRDefault="00064EEF" w:rsidP="00603F3F">
      <w:pPr>
        <w:widowControl w:val="0"/>
        <w:spacing w:after="0"/>
        <w:jc w:val="center"/>
        <w:rPr>
          <w:rFonts w:ascii="Times New Roman" w:eastAsia="Times New Roman" w:hAnsi="Times New Roman"/>
          <w:bCs/>
          <w:color w:val="0070C0"/>
          <w:kern w:val="32"/>
          <w:sz w:val="40"/>
          <w:szCs w:val="40"/>
        </w:rPr>
      </w:pPr>
      <w:r w:rsidRPr="00A91496">
        <w:rPr>
          <w:rFonts w:ascii="Times New Roman" w:eastAsia="Times New Roman" w:hAnsi="Times New Roman"/>
          <w:bCs/>
          <w:color w:val="0070C0"/>
          <w:kern w:val="32"/>
          <w:sz w:val="40"/>
          <w:szCs w:val="40"/>
          <w:lang w:val="x-none"/>
        </w:rPr>
        <w:t>201</w:t>
      </w:r>
      <w:r w:rsidR="00264609">
        <w:rPr>
          <w:rFonts w:ascii="Times New Roman" w:eastAsia="Times New Roman" w:hAnsi="Times New Roman"/>
          <w:bCs/>
          <w:color w:val="0070C0"/>
          <w:kern w:val="32"/>
          <w:sz w:val="40"/>
          <w:szCs w:val="40"/>
        </w:rPr>
        <w:t>9</w:t>
      </w:r>
      <w:r w:rsidR="0059139D" w:rsidRPr="00A91496">
        <w:rPr>
          <w:rFonts w:ascii="Times New Roman" w:eastAsia="Times New Roman" w:hAnsi="Times New Roman"/>
          <w:bCs/>
          <w:color w:val="0070C0"/>
          <w:kern w:val="32"/>
          <w:sz w:val="40"/>
          <w:szCs w:val="40"/>
          <w:lang w:val="x-none"/>
        </w:rPr>
        <w:t>-</w:t>
      </w:r>
      <w:r w:rsidRPr="00A91496">
        <w:rPr>
          <w:rFonts w:ascii="Times New Roman" w:eastAsia="Times New Roman" w:hAnsi="Times New Roman"/>
          <w:bCs/>
          <w:color w:val="0070C0"/>
          <w:kern w:val="32"/>
          <w:sz w:val="40"/>
          <w:szCs w:val="40"/>
          <w:lang w:val="x-none"/>
        </w:rPr>
        <w:t>20</w:t>
      </w:r>
      <w:r w:rsidR="00553839">
        <w:rPr>
          <w:rFonts w:ascii="Times New Roman" w:eastAsia="Times New Roman" w:hAnsi="Times New Roman"/>
          <w:bCs/>
          <w:color w:val="0070C0"/>
          <w:kern w:val="32"/>
          <w:sz w:val="40"/>
          <w:szCs w:val="40"/>
        </w:rPr>
        <w:t>2</w:t>
      </w:r>
      <w:r w:rsidR="00264609">
        <w:rPr>
          <w:rFonts w:ascii="Times New Roman" w:eastAsia="Times New Roman" w:hAnsi="Times New Roman"/>
          <w:bCs/>
          <w:color w:val="0070C0"/>
          <w:kern w:val="32"/>
          <w:sz w:val="40"/>
          <w:szCs w:val="40"/>
        </w:rPr>
        <w:t>1</w:t>
      </w:r>
    </w:p>
    <w:p w14:paraId="35EB7DE9" w14:textId="77777777" w:rsidR="0037299E" w:rsidRPr="00A91496" w:rsidRDefault="0037299E" w:rsidP="00603F3F">
      <w:pPr>
        <w:widowControl w:val="0"/>
        <w:spacing w:after="0"/>
        <w:jc w:val="center"/>
        <w:rPr>
          <w:rFonts w:ascii="Times New Roman" w:hAnsi="Times New Roman"/>
          <w:i/>
          <w:sz w:val="20"/>
          <w:szCs w:val="20"/>
        </w:rPr>
      </w:pPr>
    </w:p>
    <w:p w14:paraId="264A23E5" w14:textId="77777777" w:rsidR="0037299E" w:rsidRPr="00A91496" w:rsidRDefault="0037299E" w:rsidP="00603F3F">
      <w:pPr>
        <w:widowControl w:val="0"/>
        <w:spacing w:after="0"/>
        <w:jc w:val="center"/>
        <w:rPr>
          <w:rFonts w:ascii="Times New Roman" w:hAnsi="Times New Roman"/>
          <w:i/>
          <w:sz w:val="20"/>
          <w:szCs w:val="20"/>
        </w:rPr>
      </w:pPr>
    </w:p>
    <w:p w14:paraId="054FD047" w14:textId="77777777" w:rsidR="00450A6C" w:rsidRPr="00A91496" w:rsidRDefault="00450A6C" w:rsidP="00603F3F">
      <w:pPr>
        <w:widowControl w:val="0"/>
        <w:spacing w:after="0"/>
        <w:jc w:val="center"/>
        <w:rPr>
          <w:rFonts w:ascii="Times New Roman" w:hAnsi="Times New Roman"/>
          <w:i/>
          <w:sz w:val="20"/>
          <w:szCs w:val="20"/>
        </w:rPr>
      </w:pPr>
    </w:p>
    <w:p w14:paraId="61F5DD3A" w14:textId="77777777" w:rsidR="007F5ACA" w:rsidRPr="00A91496" w:rsidRDefault="007F5ACA" w:rsidP="00603F3F">
      <w:pPr>
        <w:widowControl w:val="0"/>
        <w:spacing w:after="0"/>
        <w:jc w:val="center"/>
        <w:rPr>
          <w:rFonts w:ascii="Times New Roman" w:hAnsi="Times New Roman"/>
          <w:i/>
          <w:sz w:val="20"/>
          <w:szCs w:val="20"/>
        </w:rPr>
      </w:pPr>
    </w:p>
    <w:p w14:paraId="3034E512" w14:textId="77777777" w:rsidR="007F5ACA" w:rsidRPr="00A91496" w:rsidRDefault="007F5ACA" w:rsidP="00603F3F">
      <w:pPr>
        <w:widowControl w:val="0"/>
        <w:spacing w:after="0"/>
        <w:jc w:val="center"/>
        <w:rPr>
          <w:rFonts w:ascii="Times New Roman" w:hAnsi="Times New Roman"/>
          <w:i/>
          <w:sz w:val="20"/>
          <w:szCs w:val="20"/>
        </w:rPr>
      </w:pPr>
    </w:p>
    <w:p w14:paraId="7844A5B3" w14:textId="77777777" w:rsidR="00967884" w:rsidRPr="00A91496" w:rsidRDefault="00967884" w:rsidP="00603F3F">
      <w:pPr>
        <w:widowControl w:val="0"/>
        <w:spacing w:after="0"/>
        <w:jc w:val="center"/>
        <w:rPr>
          <w:rFonts w:ascii="Times New Roman" w:hAnsi="Times New Roman"/>
          <w:i/>
          <w:sz w:val="20"/>
          <w:szCs w:val="20"/>
        </w:rPr>
      </w:pPr>
    </w:p>
    <w:p w14:paraId="7C95ACC6" w14:textId="77777777" w:rsidR="000759FD" w:rsidRPr="00A91496" w:rsidRDefault="000759FD" w:rsidP="00603F3F">
      <w:pPr>
        <w:widowControl w:val="0"/>
        <w:spacing w:after="0"/>
        <w:jc w:val="center"/>
        <w:rPr>
          <w:rFonts w:ascii="Times New Roman" w:hAnsi="Times New Roman"/>
          <w:i/>
          <w:sz w:val="20"/>
          <w:szCs w:val="20"/>
        </w:rPr>
      </w:pPr>
    </w:p>
    <w:p w14:paraId="151225BD" w14:textId="77777777" w:rsidR="0037299E" w:rsidRPr="00A91496" w:rsidRDefault="0037299E" w:rsidP="00603F3F">
      <w:pPr>
        <w:widowControl w:val="0"/>
        <w:spacing w:after="0"/>
        <w:jc w:val="center"/>
        <w:rPr>
          <w:rFonts w:ascii="Times New Roman" w:hAnsi="Times New Roman"/>
          <w:i/>
          <w:sz w:val="20"/>
          <w:szCs w:val="20"/>
        </w:rPr>
      </w:pPr>
    </w:p>
    <w:p w14:paraId="743E763C" w14:textId="77777777" w:rsidR="00F24E5E" w:rsidRPr="00A91496" w:rsidRDefault="00F24E5E" w:rsidP="00603F3F">
      <w:pPr>
        <w:widowControl w:val="0"/>
        <w:spacing w:after="0"/>
        <w:jc w:val="center"/>
        <w:rPr>
          <w:rFonts w:ascii="Times New Roman" w:hAnsi="Times New Roman"/>
          <w:i/>
          <w:sz w:val="20"/>
          <w:szCs w:val="20"/>
        </w:rPr>
      </w:pPr>
    </w:p>
    <w:p w14:paraId="1B4ACCF1" w14:textId="77777777" w:rsidR="00303704" w:rsidRPr="00A91496" w:rsidRDefault="00303704" w:rsidP="00603F3F">
      <w:pPr>
        <w:widowControl w:val="0"/>
        <w:spacing w:after="0"/>
        <w:jc w:val="center"/>
        <w:rPr>
          <w:rFonts w:ascii="Times New Roman" w:hAnsi="Times New Roman"/>
          <w:i/>
          <w:sz w:val="20"/>
          <w:szCs w:val="20"/>
        </w:rPr>
      </w:pPr>
    </w:p>
    <w:p w14:paraId="1FA4F7D2" w14:textId="1696DA1D" w:rsidR="00D65381" w:rsidRPr="00A91496" w:rsidRDefault="008746DE" w:rsidP="00603F3F">
      <w:pPr>
        <w:widowControl w:val="0"/>
        <w:spacing w:after="0"/>
        <w:jc w:val="center"/>
        <w:rPr>
          <w:rFonts w:ascii="Times New Roman" w:hAnsi="Times New Roman"/>
          <w:sz w:val="20"/>
          <w:szCs w:val="20"/>
        </w:rPr>
      </w:pPr>
      <w:r w:rsidRPr="00A91496">
        <w:rPr>
          <w:rFonts w:ascii="Times New Roman" w:hAnsi="Times New Roman"/>
          <w:sz w:val="20"/>
          <w:szCs w:val="20"/>
        </w:rPr>
        <w:t>Approvato dall’</w:t>
      </w:r>
      <w:r w:rsidR="00204043">
        <w:rPr>
          <w:rFonts w:ascii="Times New Roman" w:hAnsi="Times New Roman"/>
          <w:sz w:val="20"/>
          <w:szCs w:val="20"/>
        </w:rPr>
        <w:t>Amministratore Unico</w:t>
      </w:r>
      <w:r w:rsidRPr="00A91496">
        <w:rPr>
          <w:rFonts w:ascii="Times New Roman" w:hAnsi="Times New Roman"/>
          <w:sz w:val="20"/>
          <w:szCs w:val="20"/>
        </w:rPr>
        <w:t xml:space="preserve"> i</w:t>
      </w:r>
      <w:r w:rsidR="00353D9A" w:rsidRPr="00A91496">
        <w:rPr>
          <w:rFonts w:ascii="Times New Roman" w:hAnsi="Times New Roman"/>
          <w:sz w:val="20"/>
          <w:szCs w:val="20"/>
        </w:rPr>
        <w:t>n data</w:t>
      </w:r>
      <w:r w:rsidR="003C5A7E">
        <w:rPr>
          <w:rFonts w:ascii="Times New Roman" w:hAnsi="Times New Roman"/>
          <w:sz w:val="20"/>
          <w:szCs w:val="20"/>
        </w:rPr>
        <w:t xml:space="preserve"> </w:t>
      </w:r>
      <w:r w:rsidR="00CB2090">
        <w:rPr>
          <w:rFonts w:ascii="Times New Roman" w:hAnsi="Times New Roman"/>
          <w:sz w:val="20"/>
          <w:szCs w:val="20"/>
        </w:rPr>
        <w:t>31/01/</w:t>
      </w:r>
      <w:bookmarkStart w:id="0" w:name="_GoBack"/>
      <w:bookmarkEnd w:id="0"/>
      <w:r w:rsidR="003C5A7E">
        <w:rPr>
          <w:rFonts w:ascii="Times New Roman" w:hAnsi="Times New Roman"/>
          <w:sz w:val="20"/>
          <w:szCs w:val="20"/>
        </w:rPr>
        <w:t>201</w:t>
      </w:r>
      <w:r w:rsidR="00264609">
        <w:rPr>
          <w:rFonts w:ascii="Times New Roman" w:hAnsi="Times New Roman"/>
          <w:sz w:val="20"/>
          <w:szCs w:val="20"/>
        </w:rPr>
        <w:t>9</w:t>
      </w:r>
    </w:p>
    <w:p w14:paraId="16C3E498" w14:textId="4B355F9B" w:rsidR="00064EEF" w:rsidRDefault="00064EEF" w:rsidP="00603F3F">
      <w:pPr>
        <w:widowControl w:val="0"/>
        <w:spacing w:after="0"/>
        <w:rPr>
          <w:rFonts w:ascii="Times New Roman" w:hAnsi="Times New Roman"/>
          <w:sz w:val="20"/>
          <w:szCs w:val="20"/>
        </w:rPr>
      </w:pPr>
    </w:p>
    <w:p w14:paraId="59A19EB7" w14:textId="77777777" w:rsidR="00F073D4" w:rsidRPr="00A91496" w:rsidRDefault="00F073D4" w:rsidP="00603F3F">
      <w:pPr>
        <w:widowControl w:val="0"/>
        <w:spacing w:after="0"/>
        <w:rPr>
          <w:rFonts w:ascii="Times New Roman" w:hAnsi="Times New Roman"/>
          <w:sz w:val="20"/>
          <w:szCs w:val="20"/>
        </w:rPr>
      </w:pPr>
    </w:p>
    <w:p w14:paraId="72E00191" w14:textId="77777777" w:rsidR="00BD3E17" w:rsidRDefault="00D65381" w:rsidP="00603F3F">
      <w:pPr>
        <w:pStyle w:val="Sommario1"/>
        <w:widowControl w:val="0"/>
        <w:spacing w:before="0" w:after="0"/>
      </w:pPr>
      <w:r w:rsidRPr="00A91496">
        <w:lastRenderedPageBreak/>
        <w:br w:type="page"/>
      </w:r>
    </w:p>
    <w:p w14:paraId="55E5AD47" w14:textId="77777777" w:rsidR="00441EB1" w:rsidRDefault="00150052" w:rsidP="00603F3F">
      <w:pPr>
        <w:pStyle w:val="Sommario1"/>
        <w:widowControl w:val="0"/>
        <w:spacing w:before="0" w:after="0"/>
      </w:pPr>
      <w:r w:rsidRPr="00BD3E17">
        <w:rPr>
          <w:lang w:eastAsia="it-IT"/>
        </w:rPr>
        <w:lastRenderedPageBreak/>
        <w:drawing>
          <wp:anchor distT="0" distB="0" distL="114300" distR="114300" simplePos="0" relativeHeight="251657728" behindDoc="0" locked="0" layoutInCell="1" allowOverlap="1" wp14:anchorId="24C0092F" wp14:editId="762D1621">
            <wp:simplePos x="0" y="0"/>
            <wp:positionH relativeFrom="column">
              <wp:posOffset>4457700</wp:posOffset>
            </wp:positionH>
            <wp:positionV relativeFrom="paragraph">
              <wp:posOffset>2540</wp:posOffset>
            </wp:positionV>
            <wp:extent cx="0" cy="0"/>
            <wp:effectExtent l="3810" t="4445" r="5715" b="5080"/>
            <wp:wrapSquare wrapText="right"/>
            <wp:docPr id="3" name="Oggetto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bookmarkStart w:id="1" w:name="_Toc418505914"/>
      <w:r w:rsidR="00E634E9" w:rsidRPr="00BD3E17">
        <w:rPr>
          <w:sz w:val="22"/>
          <w:szCs w:val="22"/>
        </w:rPr>
        <w:fldChar w:fldCharType="begin"/>
      </w:r>
      <w:r w:rsidR="00E634E9" w:rsidRPr="00BD3E17">
        <w:instrText xml:space="preserve"> TOC \o "1-5" \h \z \u </w:instrText>
      </w:r>
      <w:r w:rsidR="00E634E9" w:rsidRPr="00BD3E17">
        <w:rPr>
          <w:sz w:val="22"/>
          <w:szCs w:val="22"/>
        </w:rPr>
        <w:fldChar w:fldCharType="separate"/>
      </w:r>
    </w:p>
    <w:p w14:paraId="67356671" w14:textId="2AA4CCB1" w:rsidR="00441EB1" w:rsidRDefault="00483705">
      <w:pPr>
        <w:pStyle w:val="Sommario1"/>
        <w:rPr>
          <w:rFonts w:asciiTheme="minorHAnsi" w:eastAsiaTheme="minorEastAsia" w:hAnsiTheme="minorHAnsi" w:cstheme="minorBidi"/>
          <w:bCs w:val="0"/>
          <w:caps w:val="0"/>
          <w:smallCaps w:val="0"/>
          <w:sz w:val="22"/>
          <w:szCs w:val="22"/>
          <w:lang w:eastAsia="it-IT"/>
        </w:rPr>
      </w:pPr>
      <w:hyperlink w:anchor="_Toc535854385" w:history="1">
        <w:r w:rsidR="00441EB1" w:rsidRPr="00456345">
          <w:rPr>
            <w:rStyle w:val="Collegamentoipertestuale"/>
          </w:rPr>
          <w:t>Parte generale</w:t>
        </w:r>
        <w:r w:rsidR="00441EB1">
          <w:rPr>
            <w:webHidden/>
          </w:rPr>
          <w:tab/>
        </w:r>
        <w:r w:rsidR="00441EB1">
          <w:rPr>
            <w:webHidden/>
          </w:rPr>
          <w:fldChar w:fldCharType="begin"/>
        </w:r>
        <w:r w:rsidR="00441EB1">
          <w:rPr>
            <w:webHidden/>
          </w:rPr>
          <w:instrText xml:space="preserve"> PAGEREF _Toc535854385 \h </w:instrText>
        </w:r>
        <w:r w:rsidR="00441EB1">
          <w:rPr>
            <w:webHidden/>
          </w:rPr>
        </w:r>
        <w:r w:rsidR="00441EB1">
          <w:rPr>
            <w:webHidden/>
          </w:rPr>
          <w:fldChar w:fldCharType="separate"/>
        </w:r>
        <w:r w:rsidR="00441EB1">
          <w:rPr>
            <w:webHidden/>
          </w:rPr>
          <w:t>5</w:t>
        </w:r>
        <w:r w:rsidR="00441EB1">
          <w:rPr>
            <w:webHidden/>
          </w:rPr>
          <w:fldChar w:fldCharType="end"/>
        </w:r>
      </w:hyperlink>
    </w:p>
    <w:p w14:paraId="06A7DB3D" w14:textId="2785C69D" w:rsidR="00441EB1" w:rsidRDefault="00483705">
      <w:pPr>
        <w:pStyle w:val="Sommario2"/>
        <w:rPr>
          <w:rFonts w:asciiTheme="minorHAnsi" w:eastAsiaTheme="minorEastAsia" w:hAnsiTheme="minorHAnsi" w:cstheme="minorBidi"/>
          <w:smallCaps w:val="0"/>
          <w:noProof/>
          <w:sz w:val="22"/>
          <w:szCs w:val="22"/>
          <w:lang w:eastAsia="it-IT"/>
        </w:rPr>
      </w:pPr>
      <w:hyperlink w:anchor="_Toc535854386" w:history="1">
        <w:r w:rsidR="00441EB1" w:rsidRPr="00456345">
          <w:rPr>
            <w:rStyle w:val="Collegamentoipertestuale"/>
            <w:noProof/>
          </w:rPr>
          <w:t>1.</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Premessa</w:t>
        </w:r>
        <w:r w:rsidR="00441EB1">
          <w:rPr>
            <w:noProof/>
            <w:webHidden/>
          </w:rPr>
          <w:tab/>
        </w:r>
        <w:r w:rsidR="00441EB1">
          <w:rPr>
            <w:noProof/>
            <w:webHidden/>
          </w:rPr>
          <w:fldChar w:fldCharType="begin"/>
        </w:r>
        <w:r w:rsidR="00441EB1">
          <w:rPr>
            <w:noProof/>
            <w:webHidden/>
          </w:rPr>
          <w:instrText xml:space="preserve"> PAGEREF _Toc535854386 \h </w:instrText>
        </w:r>
        <w:r w:rsidR="00441EB1">
          <w:rPr>
            <w:noProof/>
            <w:webHidden/>
          </w:rPr>
        </w:r>
        <w:r w:rsidR="00441EB1">
          <w:rPr>
            <w:noProof/>
            <w:webHidden/>
          </w:rPr>
          <w:fldChar w:fldCharType="separate"/>
        </w:r>
        <w:r w:rsidR="00441EB1">
          <w:rPr>
            <w:noProof/>
            <w:webHidden/>
          </w:rPr>
          <w:t>6</w:t>
        </w:r>
        <w:r w:rsidR="00441EB1">
          <w:rPr>
            <w:noProof/>
            <w:webHidden/>
          </w:rPr>
          <w:fldChar w:fldCharType="end"/>
        </w:r>
      </w:hyperlink>
    </w:p>
    <w:p w14:paraId="709272FF" w14:textId="0DC6205B" w:rsidR="00441EB1" w:rsidRDefault="00483705">
      <w:pPr>
        <w:pStyle w:val="Sommario3"/>
        <w:rPr>
          <w:rFonts w:asciiTheme="minorHAnsi" w:eastAsiaTheme="minorEastAsia" w:hAnsiTheme="minorHAnsi" w:cstheme="minorBidi"/>
          <w:i w:val="0"/>
          <w:iCs w:val="0"/>
          <w:sz w:val="22"/>
          <w:szCs w:val="22"/>
          <w:lang w:eastAsia="it-IT"/>
        </w:rPr>
      </w:pPr>
      <w:hyperlink w:anchor="_Toc535854387" w:history="1">
        <w:r w:rsidR="00441EB1" w:rsidRPr="00456345">
          <w:rPr>
            <w:rStyle w:val="Collegamentoipertestuale"/>
          </w:rPr>
          <w:t>1.1.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Gli obiettivi a concorrenza indiretta</w:t>
        </w:r>
        <w:r w:rsidR="00441EB1">
          <w:rPr>
            <w:webHidden/>
          </w:rPr>
          <w:tab/>
        </w:r>
        <w:r w:rsidR="00441EB1">
          <w:rPr>
            <w:webHidden/>
          </w:rPr>
          <w:fldChar w:fldCharType="begin"/>
        </w:r>
        <w:r w:rsidR="00441EB1">
          <w:rPr>
            <w:webHidden/>
          </w:rPr>
          <w:instrText xml:space="preserve"> PAGEREF _Toc535854387 \h </w:instrText>
        </w:r>
        <w:r w:rsidR="00441EB1">
          <w:rPr>
            <w:webHidden/>
          </w:rPr>
        </w:r>
        <w:r w:rsidR="00441EB1">
          <w:rPr>
            <w:webHidden/>
          </w:rPr>
          <w:fldChar w:fldCharType="separate"/>
        </w:r>
        <w:r w:rsidR="00441EB1">
          <w:rPr>
            <w:webHidden/>
          </w:rPr>
          <w:t>7</w:t>
        </w:r>
        <w:r w:rsidR="00441EB1">
          <w:rPr>
            <w:webHidden/>
          </w:rPr>
          <w:fldChar w:fldCharType="end"/>
        </w:r>
      </w:hyperlink>
    </w:p>
    <w:p w14:paraId="3D52978C" w14:textId="3640C83B" w:rsidR="00441EB1" w:rsidRDefault="00483705">
      <w:pPr>
        <w:pStyle w:val="Sommario3"/>
        <w:rPr>
          <w:rFonts w:asciiTheme="minorHAnsi" w:eastAsiaTheme="minorEastAsia" w:hAnsiTheme="minorHAnsi" w:cstheme="minorBidi"/>
          <w:i w:val="0"/>
          <w:iCs w:val="0"/>
          <w:sz w:val="22"/>
          <w:szCs w:val="22"/>
          <w:lang w:eastAsia="it-IT"/>
        </w:rPr>
      </w:pPr>
      <w:hyperlink w:anchor="_Toc535854388" w:history="1">
        <w:r w:rsidR="00441EB1" w:rsidRPr="00456345">
          <w:rPr>
            <w:rStyle w:val="Collegamentoipertestuale"/>
          </w:rPr>
          <w:t>1.2.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Obiettivi a Concorrenza Diretta</w:t>
        </w:r>
        <w:r w:rsidR="00441EB1">
          <w:rPr>
            <w:webHidden/>
          </w:rPr>
          <w:tab/>
        </w:r>
        <w:r w:rsidR="00441EB1">
          <w:rPr>
            <w:webHidden/>
          </w:rPr>
          <w:fldChar w:fldCharType="begin"/>
        </w:r>
        <w:r w:rsidR="00441EB1">
          <w:rPr>
            <w:webHidden/>
          </w:rPr>
          <w:instrText xml:space="preserve"> PAGEREF _Toc535854388 \h </w:instrText>
        </w:r>
        <w:r w:rsidR="00441EB1">
          <w:rPr>
            <w:webHidden/>
          </w:rPr>
        </w:r>
        <w:r w:rsidR="00441EB1">
          <w:rPr>
            <w:webHidden/>
          </w:rPr>
          <w:fldChar w:fldCharType="separate"/>
        </w:r>
        <w:r w:rsidR="00441EB1">
          <w:rPr>
            <w:webHidden/>
          </w:rPr>
          <w:t>7</w:t>
        </w:r>
        <w:r w:rsidR="00441EB1">
          <w:rPr>
            <w:webHidden/>
          </w:rPr>
          <w:fldChar w:fldCharType="end"/>
        </w:r>
      </w:hyperlink>
    </w:p>
    <w:p w14:paraId="248CB9E4" w14:textId="7C9D8C4C" w:rsidR="00441EB1" w:rsidRDefault="00483705">
      <w:pPr>
        <w:pStyle w:val="Sommario3"/>
        <w:rPr>
          <w:rFonts w:asciiTheme="minorHAnsi" w:eastAsiaTheme="minorEastAsia" w:hAnsiTheme="minorHAnsi" w:cstheme="minorBidi"/>
          <w:i w:val="0"/>
          <w:iCs w:val="0"/>
          <w:sz w:val="22"/>
          <w:szCs w:val="22"/>
          <w:lang w:eastAsia="it-IT"/>
        </w:rPr>
      </w:pPr>
      <w:hyperlink w:anchor="_Toc535854389" w:history="1">
        <w:r w:rsidR="00441EB1" w:rsidRPr="00456345">
          <w:rPr>
            <w:rStyle w:val="Collegamentoipertestuale"/>
          </w:rPr>
          <w:t>1.3.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DUP del Comune di Marino</w:t>
        </w:r>
        <w:r w:rsidR="00441EB1">
          <w:rPr>
            <w:webHidden/>
          </w:rPr>
          <w:tab/>
        </w:r>
        <w:r w:rsidR="00441EB1">
          <w:rPr>
            <w:webHidden/>
          </w:rPr>
          <w:fldChar w:fldCharType="begin"/>
        </w:r>
        <w:r w:rsidR="00441EB1">
          <w:rPr>
            <w:webHidden/>
          </w:rPr>
          <w:instrText xml:space="preserve"> PAGEREF _Toc535854389 \h </w:instrText>
        </w:r>
        <w:r w:rsidR="00441EB1">
          <w:rPr>
            <w:webHidden/>
          </w:rPr>
        </w:r>
        <w:r w:rsidR="00441EB1">
          <w:rPr>
            <w:webHidden/>
          </w:rPr>
          <w:fldChar w:fldCharType="separate"/>
        </w:r>
        <w:r w:rsidR="00441EB1">
          <w:rPr>
            <w:webHidden/>
          </w:rPr>
          <w:t>7</w:t>
        </w:r>
        <w:r w:rsidR="00441EB1">
          <w:rPr>
            <w:webHidden/>
          </w:rPr>
          <w:fldChar w:fldCharType="end"/>
        </w:r>
      </w:hyperlink>
    </w:p>
    <w:p w14:paraId="45C4261C" w14:textId="1B74CF9B" w:rsidR="00441EB1" w:rsidRDefault="00483705">
      <w:pPr>
        <w:pStyle w:val="Sommario3"/>
        <w:rPr>
          <w:rFonts w:asciiTheme="minorHAnsi" w:eastAsiaTheme="minorEastAsia" w:hAnsiTheme="minorHAnsi" w:cstheme="minorBidi"/>
          <w:i w:val="0"/>
          <w:iCs w:val="0"/>
          <w:sz w:val="22"/>
          <w:szCs w:val="22"/>
          <w:lang w:eastAsia="it-IT"/>
        </w:rPr>
      </w:pPr>
      <w:hyperlink w:anchor="_Toc535854390" w:history="1">
        <w:r w:rsidR="00441EB1" w:rsidRPr="00456345">
          <w:rPr>
            <w:rStyle w:val="Collegamentoipertestuale"/>
          </w:rPr>
          <w:t>1.4.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Piano Operativo Annuale</w:t>
        </w:r>
        <w:r w:rsidR="00441EB1">
          <w:rPr>
            <w:webHidden/>
          </w:rPr>
          <w:tab/>
        </w:r>
        <w:r w:rsidR="00441EB1">
          <w:rPr>
            <w:webHidden/>
          </w:rPr>
          <w:fldChar w:fldCharType="begin"/>
        </w:r>
        <w:r w:rsidR="00441EB1">
          <w:rPr>
            <w:webHidden/>
          </w:rPr>
          <w:instrText xml:space="preserve"> PAGEREF _Toc535854390 \h </w:instrText>
        </w:r>
        <w:r w:rsidR="00441EB1">
          <w:rPr>
            <w:webHidden/>
          </w:rPr>
        </w:r>
        <w:r w:rsidR="00441EB1">
          <w:rPr>
            <w:webHidden/>
          </w:rPr>
          <w:fldChar w:fldCharType="separate"/>
        </w:r>
        <w:r w:rsidR="00441EB1">
          <w:rPr>
            <w:webHidden/>
          </w:rPr>
          <w:t>8</w:t>
        </w:r>
        <w:r w:rsidR="00441EB1">
          <w:rPr>
            <w:webHidden/>
          </w:rPr>
          <w:fldChar w:fldCharType="end"/>
        </w:r>
      </w:hyperlink>
    </w:p>
    <w:p w14:paraId="10F6E88D" w14:textId="650B3C77" w:rsidR="00441EB1" w:rsidRDefault="00483705">
      <w:pPr>
        <w:pStyle w:val="Sommario2"/>
        <w:rPr>
          <w:rFonts w:asciiTheme="minorHAnsi" w:eastAsiaTheme="minorEastAsia" w:hAnsiTheme="minorHAnsi" w:cstheme="minorBidi"/>
          <w:smallCaps w:val="0"/>
          <w:noProof/>
          <w:sz w:val="22"/>
          <w:szCs w:val="22"/>
          <w:lang w:eastAsia="it-IT"/>
        </w:rPr>
      </w:pPr>
      <w:hyperlink w:anchor="_Toc535854391" w:history="1">
        <w:r w:rsidR="00441EB1" w:rsidRPr="00456345">
          <w:rPr>
            <w:rStyle w:val="Collegamentoipertestuale"/>
            <w:noProof/>
          </w:rPr>
          <w:t>2.</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Piano Triennale di Prevenzione della Corruzione e per la Trasparenza triennio 2019-2021</w:t>
        </w:r>
        <w:r w:rsidR="00441EB1">
          <w:rPr>
            <w:noProof/>
            <w:webHidden/>
          </w:rPr>
          <w:tab/>
        </w:r>
        <w:r w:rsidR="00441EB1">
          <w:rPr>
            <w:noProof/>
            <w:webHidden/>
          </w:rPr>
          <w:fldChar w:fldCharType="begin"/>
        </w:r>
        <w:r w:rsidR="00441EB1">
          <w:rPr>
            <w:noProof/>
            <w:webHidden/>
          </w:rPr>
          <w:instrText xml:space="preserve"> PAGEREF _Toc535854391 \h </w:instrText>
        </w:r>
        <w:r w:rsidR="00441EB1">
          <w:rPr>
            <w:noProof/>
            <w:webHidden/>
          </w:rPr>
        </w:r>
        <w:r w:rsidR="00441EB1">
          <w:rPr>
            <w:noProof/>
            <w:webHidden/>
          </w:rPr>
          <w:fldChar w:fldCharType="separate"/>
        </w:r>
        <w:r w:rsidR="00441EB1">
          <w:rPr>
            <w:noProof/>
            <w:webHidden/>
          </w:rPr>
          <w:t>8</w:t>
        </w:r>
        <w:r w:rsidR="00441EB1">
          <w:rPr>
            <w:noProof/>
            <w:webHidden/>
          </w:rPr>
          <w:fldChar w:fldCharType="end"/>
        </w:r>
      </w:hyperlink>
    </w:p>
    <w:p w14:paraId="6B441DAC" w14:textId="2D2461D7" w:rsidR="00441EB1" w:rsidRDefault="00483705">
      <w:pPr>
        <w:pStyle w:val="Sommario2"/>
        <w:rPr>
          <w:rFonts w:asciiTheme="minorHAnsi" w:eastAsiaTheme="minorEastAsia" w:hAnsiTheme="minorHAnsi" w:cstheme="minorBidi"/>
          <w:smallCaps w:val="0"/>
          <w:noProof/>
          <w:sz w:val="22"/>
          <w:szCs w:val="22"/>
          <w:lang w:eastAsia="it-IT"/>
        </w:rPr>
      </w:pPr>
      <w:hyperlink w:anchor="_Toc535854392" w:history="1">
        <w:r w:rsidR="00441EB1" w:rsidRPr="00456345">
          <w:rPr>
            <w:rStyle w:val="Collegamentoipertestuale"/>
            <w:noProof/>
          </w:rPr>
          <w:t>3.</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quadro normativo</w:t>
        </w:r>
        <w:r w:rsidR="00441EB1">
          <w:rPr>
            <w:noProof/>
            <w:webHidden/>
          </w:rPr>
          <w:tab/>
        </w:r>
        <w:r w:rsidR="00441EB1">
          <w:rPr>
            <w:noProof/>
            <w:webHidden/>
          </w:rPr>
          <w:fldChar w:fldCharType="begin"/>
        </w:r>
        <w:r w:rsidR="00441EB1">
          <w:rPr>
            <w:noProof/>
            <w:webHidden/>
          </w:rPr>
          <w:instrText xml:space="preserve"> PAGEREF _Toc535854392 \h </w:instrText>
        </w:r>
        <w:r w:rsidR="00441EB1">
          <w:rPr>
            <w:noProof/>
            <w:webHidden/>
          </w:rPr>
        </w:r>
        <w:r w:rsidR="00441EB1">
          <w:rPr>
            <w:noProof/>
            <w:webHidden/>
          </w:rPr>
          <w:fldChar w:fldCharType="separate"/>
        </w:r>
        <w:r w:rsidR="00441EB1">
          <w:rPr>
            <w:noProof/>
            <w:webHidden/>
          </w:rPr>
          <w:t>11</w:t>
        </w:r>
        <w:r w:rsidR="00441EB1">
          <w:rPr>
            <w:noProof/>
            <w:webHidden/>
          </w:rPr>
          <w:fldChar w:fldCharType="end"/>
        </w:r>
      </w:hyperlink>
    </w:p>
    <w:p w14:paraId="2F332F05" w14:textId="1B691312" w:rsidR="00441EB1" w:rsidRDefault="00483705">
      <w:pPr>
        <w:pStyle w:val="Sommario3"/>
        <w:rPr>
          <w:rFonts w:asciiTheme="minorHAnsi" w:eastAsiaTheme="minorEastAsia" w:hAnsiTheme="minorHAnsi" w:cstheme="minorBidi"/>
          <w:i w:val="0"/>
          <w:iCs w:val="0"/>
          <w:sz w:val="22"/>
          <w:szCs w:val="22"/>
          <w:lang w:eastAsia="it-IT"/>
        </w:rPr>
      </w:pPr>
      <w:hyperlink w:anchor="_Toc535854393" w:history="1">
        <w:r w:rsidR="00441EB1" w:rsidRPr="00456345">
          <w:rPr>
            <w:rStyle w:val="Collegamentoipertestuale"/>
          </w:rPr>
          <w:t>3.1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 xml:space="preserve">Il quadro normativo </w:t>
        </w:r>
        <w:r w:rsidR="00441EB1" w:rsidRPr="00456345">
          <w:rPr>
            <w:rStyle w:val="Collegamentoipertestuale"/>
            <w:bdr w:val="none" w:sz="0" w:space="0" w:color="auto" w:frame="1"/>
            <w:shd w:val="clear" w:color="auto" w:fill="FFFFFF"/>
          </w:rPr>
          <w:t>Multiservizi dei Castelli di Marino S.p.A</w:t>
        </w:r>
        <w:r w:rsidR="00441EB1" w:rsidRPr="00456345">
          <w:rPr>
            <w:rStyle w:val="Collegamentoipertestuale"/>
            <w:shd w:val="clear" w:color="auto" w:fill="FFFFFF"/>
          </w:rPr>
          <w:t>.</w:t>
        </w:r>
        <w:r w:rsidR="00441EB1">
          <w:rPr>
            <w:webHidden/>
          </w:rPr>
          <w:tab/>
        </w:r>
        <w:r w:rsidR="00441EB1">
          <w:rPr>
            <w:webHidden/>
          </w:rPr>
          <w:fldChar w:fldCharType="begin"/>
        </w:r>
        <w:r w:rsidR="00441EB1">
          <w:rPr>
            <w:webHidden/>
          </w:rPr>
          <w:instrText xml:space="preserve"> PAGEREF _Toc535854393 \h </w:instrText>
        </w:r>
        <w:r w:rsidR="00441EB1">
          <w:rPr>
            <w:webHidden/>
          </w:rPr>
        </w:r>
        <w:r w:rsidR="00441EB1">
          <w:rPr>
            <w:webHidden/>
          </w:rPr>
          <w:fldChar w:fldCharType="separate"/>
        </w:r>
        <w:r w:rsidR="00441EB1">
          <w:rPr>
            <w:webHidden/>
          </w:rPr>
          <w:t>12</w:t>
        </w:r>
        <w:r w:rsidR="00441EB1">
          <w:rPr>
            <w:webHidden/>
          </w:rPr>
          <w:fldChar w:fldCharType="end"/>
        </w:r>
      </w:hyperlink>
    </w:p>
    <w:p w14:paraId="599F9D12" w14:textId="0D6C053F" w:rsidR="00441EB1" w:rsidRDefault="00483705">
      <w:pPr>
        <w:pStyle w:val="Sommario2"/>
        <w:rPr>
          <w:rFonts w:asciiTheme="minorHAnsi" w:eastAsiaTheme="minorEastAsia" w:hAnsiTheme="minorHAnsi" w:cstheme="minorBidi"/>
          <w:smallCaps w:val="0"/>
          <w:noProof/>
          <w:sz w:val="22"/>
          <w:szCs w:val="22"/>
          <w:lang w:eastAsia="it-IT"/>
        </w:rPr>
      </w:pPr>
      <w:hyperlink w:anchor="_Toc535854394" w:history="1">
        <w:r w:rsidR="00441EB1" w:rsidRPr="00456345">
          <w:rPr>
            <w:rStyle w:val="Collegamentoipertestuale"/>
            <w:noProof/>
          </w:rPr>
          <w:t>4.</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contesto esterno</w:t>
        </w:r>
        <w:r w:rsidR="00441EB1">
          <w:rPr>
            <w:noProof/>
            <w:webHidden/>
          </w:rPr>
          <w:tab/>
        </w:r>
        <w:r w:rsidR="00441EB1">
          <w:rPr>
            <w:noProof/>
            <w:webHidden/>
          </w:rPr>
          <w:fldChar w:fldCharType="begin"/>
        </w:r>
        <w:r w:rsidR="00441EB1">
          <w:rPr>
            <w:noProof/>
            <w:webHidden/>
          </w:rPr>
          <w:instrText xml:space="preserve"> PAGEREF _Toc535854394 \h </w:instrText>
        </w:r>
        <w:r w:rsidR="00441EB1">
          <w:rPr>
            <w:noProof/>
            <w:webHidden/>
          </w:rPr>
        </w:r>
        <w:r w:rsidR="00441EB1">
          <w:rPr>
            <w:noProof/>
            <w:webHidden/>
          </w:rPr>
          <w:fldChar w:fldCharType="separate"/>
        </w:r>
        <w:r w:rsidR="00441EB1">
          <w:rPr>
            <w:noProof/>
            <w:webHidden/>
          </w:rPr>
          <w:t>13</w:t>
        </w:r>
        <w:r w:rsidR="00441EB1">
          <w:rPr>
            <w:noProof/>
            <w:webHidden/>
          </w:rPr>
          <w:fldChar w:fldCharType="end"/>
        </w:r>
      </w:hyperlink>
    </w:p>
    <w:p w14:paraId="5B59959A" w14:textId="3357897E" w:rsidR="00441EB1" w:rsidRDefault="00483705">
      <w:pPr>
        <w:pStyle w:val="Sommario3"/>
        <w:rPr>
          <w:rFonts w:asciiTheme="minorHAnsi" w:eastAsiaTheme="minorEastAsia" w:hAnsiTheme="minorHAnsi" w:cstheme="minorBidi"/>
          <w:i w:val="0"/>
          <w:iCs w:val="0"/>
          <w:sz w:val="22"/>
          <w:szCs w:val="22"/>
          <w:lang w:eastAsia="it-IT"/>
        </w:rPr>
      </w:pPr>
      <w:hyperlink w:anchor="_Toc535854395" w:history="1">
        <w:r w:rsidR="00441EB1" w:rsidRPr="00456345">
          <w:rPr>
            <w:rStyle w:val="Collegamentoipertestuale"/>
          </w:rPr>
          <w:t>4.1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Quadro Economico</w:t>
        </w:r>
        <w:r w:rsidR="00441EB1">
          <w:rPr>
            <w:webHidden/>
          </w:rPr>
          <w:tab/>
        </w:r>
        <w:r w:rsidR="00441EB1">
          <w:rPr>
            <w:webHidden/>
          </w:rPr>
          <w:fldChar w:fldCharType="begin"/>
        </w:r>
        <w:r w:rsidR="00441EB1">
          <w:rPr>
            <w:webHidden/>
          </w:rPr>
          <w:instrText xml:space="preserve"> PAGEREF _Toc535854395 \h </w:instrText>
        </w:r>
        <w:r w:rsidR="00441EB1">
          <w:rPr>
            <w:webHidden/>
          </w:rPr>
        </w:r>
        <w:r w:rsidR="00441EB1">
          <w:rPr>
            <w:webHidden/>
          </w:rPr>
          <w:fldChar w:fldCharType="separate"/>
        </w:r>
        <w:r w:rsidR="00441EB1">
          <w:rPr>
            <w:webHidden/>
          </w:rPr>
          <w:t>13</w:t>
        </w:r>
        <w:r w:rsidR="00441EB1">
          <w:rPr>
            <w:webHidden/>
          </w:rPr>
          <w:fldChar w:fldCharType="end"/>
        </w:r>
      </w:hyperlink>
    </w:p>
    <w:p w14:paraId="16CD1B86" w14:textId="43305C80" w:rsidR="00441EB1" w:rsidRDefault="00483705">
      <w:pPr>
        <w:pStyle w:val="Sommario4"/>
        <w:rPr>
          <w:rFonts w:asciiTheme="minorHAnsi" w:eastAsiaTheme="minorEastAsia" w:hAnsiTheme="minorHAnsi" w:cstheme="minorBidi"/>
          <w:sz w:val="22"/>
          <w:szCs w:val="22"/>
        </w:rPr>
      </w:pPr>
      <w:hyperlink w:anchor="_Toc535854396" w:history="1">
        <w:r w:rsidR="00441EB1" w:rsidRPr="00456345">
          <w:rPr>
            <w:rStyle w:val="Collegamentoipertestuale"/>
            <w:b/>
          </w:rPr>
          <w:t>4.1.1</w:t>
        </w:r>
        <w:r w:rsidR="00441EB1">
          <w:rPr>
            <w:rFonts w:asciiTheme="minorHAnsi" w:eastAsiaTheme="minorEastAsia" w:hAnsiTheme="minorHAnsi" w:cstheme="minorBidi"/>
            <w:sz w:val="22"/>
            <w:szCs w:val="22"/>
          </w:rPr>
          <w:tab/>
        </w:r>
        <w:r w:rsidR="00441EB1" w:rsidRPr="00456345">
          <w:rPr>
            <w:rStyle w:val="Collegamentoipertestuale"/>
            <w:b/>
          </w:rPr>
          <w:t>Lo Scenario Economico Nazionale</w:t>
        </w:r>
        <w:r w:rsidR="00441EB1">
          <w:rPr>
            <w:webHidden/>
          </w:rPr>
          <w:tab/>
        </w:r>
        <w:r w:rsidR="00441EB1">
          <w:rPr>
            <w:webHidden/>
          </w:rPr>
          <w:fldChar w:fldCharType="begin"/>
        </w:r>
        <w:r w:rsidR="00441EB1">
          <w:rPr>
            <w:webHidden/>
          </w:rPr>
          <w:instrText xml:space="preserve"> PAGEREF _Toc535854396 \h </w:instrText>
        </w:r>
        <w:r w:rsidR="00441EB1">
          <w:rPr>
            <w:webHidden/>
          </w:rPr>
        </w:r>
        <w:r w:rsidR="00441EB1">
          <w:rPr>
            <w:webHidden/>
          </w:rPr>
          <w:fldChar w:fldCharType="separate"/>
        </w:r>
        <w:r w:rsidR="00441EB1">
          <w:rPr>
            <w:webHidden/>
          </w:rPr>
          <w:t>13</w:t>
        </w:r>
        <w:r w:rsidR="00441EB1">
          <w:rPr>
            <w:webHidden/>
          </w:rPr>
          <w:fldChar w:fldCharType="end"/>
        </w:r>
      </w:hyperlink>
    </w:p>
    <w:p w14:paraId="55A5B0B4" w14:textId="6A304EF5" w:rsidR="00441EB1" w:rsidRDefault="00483705">
      <w:pPr>
        <w:pStyle w:val="Sommario4"/>
        <w:rPr>
          <w:rFonts w:asciiTheme="minorHAnsi" w:eastAsiaTheme="minorEastAsia" w:hAnsiTheme="minorHAnsi" w:cstheme="minorBidi"/>
          <w:sz w:val="22"/>
          <w:szCs w:val="22"/>
        </w:rPr>
      </w:pPr>
      <w:hyperlink w:anchor="_Toc535854397" w:history="1">
        <w:r w:rsidR="00441EB1" w:rsidRPr="00456345">
          <w:rPr>
            <w:rStyle w:val="Collegamentoipertestuale"/>
            <w:b/>
          </w:rPr>
          <w:t>4.1.2</w:t>
        </w:r>
        <w:r w:rsidR="00441EB1">
          <w:rPr>
            <w:rFonts w:asciiTheme="minorHAnsi" w:eastAsiaTheme="minorEastAsia" w:hAnsiTheme="minorHAnsi" w:cstheme="minorBidi"/>
            <w:sz w:val="22"/>
            <w:szCs w:val="22"/>
          </w:rPr>
          <w:tab/>
        </w:r>
        <w:r w:rsidR="00441EB1" w:rsidRPr="00456345">
          <w:rPr>
            <w:rStyle w:val="Collegamentoipertestuale"/>
            <w:b/>
          </w:rPr>
          <w:t>Lo Scenario Economico Regionale</w:t>
        </w:r>
        <w:r w:rsidR="00441EB1">
          <w:rPr>
            <w:webHidden/>
          </w:rPr>
          <w:tab/>
        </w:r>
        <w:r w:rsidR="00441EB1">
          <w:rPr>
            <w:webHidden/>
          </w:rPr>
          <w:fldChar w:fldCharType="begin"/>
        </w:r>
        <w:r w:rsidR="00441EB1">
          <w:rPr>
            <w:webHidden/>
          </w:rPr>
          <w:instrText xml:space="preserve"> PAGEREF _Toc535854397 \h </w:instrText>
        </w:r>
        <w:r w:rsidR="00441EB1">
          <w:rPr>
            <w:webHidden/>
          </w:rPr>
        </w:r>
        <w:r w:rsidR="00441EB1">
          <w:rPr>
            <w:webHidden/>
          </w:rPr>
          <w:fldChar w:fldCharType="separate"/>
        </w:r>
        <w:r w:rsidR="00441EB1">
          <w:rPr>
            <w:webHidden/>
          </w:rPr>
          <w:t>15</w:t>
        </w:r>
        <w:r w:rsidR="00441EB1">
          <w:rPr>
            <w:webHidden/>
          </w:rPr>
          <w:fldChar w:fldCharType="end"/>
        </w:r>
      </w:hyperlink>
    </w:p>
    <w:p w14:paraId="5078DF1A" w14:textId="2DA3F014" w:rsidR="00441EB1" w:rsidRDefault="00483705">
      <w:pPr>
        <w:pStyle w:val="Sommario4"/>
        <w:rPr>
          <w:rFonts w:asciiTheme="minorHAnsi" w:eastAsiaTheme="minorEastAsia" w:hAnsiTheme="minorHAnsi" w:cstheme="minorBidi"/>
          <w:sz w:val="22"/>
          <w:szCs w:val="22"/>
        </w:rPr>
      </w:pPr>
      <w:hyperlink w:anchor="_Toc535854398" w:history="1">
        <w:r w:rsidR="00441EB1" w:rsidRPr="00456345">
          <w:rPr>
            <w:rStyle w:val="Collegamentoipertestuale"/>
            <w:b/>
          </w:rPr>
          <w:t>4.1.3</w:t>
        </w:r>
        <w:r w:rsidR="00441EB1">
          <w:rPr>
            <w:rFonts w:asciiTheme="minorHAnsi" w:eastAsiaTheme="minorEastAsia" w:hAnsiTheme="minorHAnsi" w:cstheme="minorBidi"/>
            <w:sz w:val="22"/>
            <w:szCs w:val="22"/>
          </w:rPr>
          <w:tab/>
        </w:r>
        <w:r w:rsidR="00441EB1" w:rsidRPr="00456345">
          <w:rPr>
            <w:rStyle w:val="Collegamentoipertestuale"/>
            <w:b/>
          </w:rPr>
          <w:t>Lo Scenario Economico Comunale</w:t>
        </w:r>
        <w:r w:rsidR="00441EB1">
          <w:rPr>
            <w:webHidden/>
          </w:rPr>
          <w:tab/>
        </w:r>
        <w:r w:rsidR="00441EB1">
          <w:rPr>
            <w:webHidden/>
          </w:rPr>
          <w:fldChar w:fldCharType="begin"/>
        </w:r>
        <w:r w:rsidR="00441EB1">
          <w:rPr>
            <w:webHidden/>
          </w:rPr>
          <w:instrText xml:space="preserve"> PAGEREF _Toc535854398 \h </w:instrText>
        </w:r>
        <w:r w:rsidR="00441EB1">
          <w:rPr>
            <w:webHidden/>
          </w:rPr>
        </w:r>
        <w:r w:rsidR="00441EB1">
          <w:rPr>
            <w:webHidden/>
          </w:rPr>
          <w:fldChar w:fldCharType="separate"/>
        </w:r>
        <w:r w:rsidR="00441EB1">
          <w:rPr>
            <w:webHidden/>
          </w:rPr>
          <w:t>16</w:t>
        </w:r>
        <w:r w:rsidR="00441EB1">
          <w:rPr>
            <w:webHidden/>
          </w:rPr>
          <w:fldChar w:fldCharType="end"/>
        </w:r>
      </w:hyperlink>
    </w:p>
    <w:p w14:paraId="4813CFFF" w14:textId="2482EB44" w:rsidR="00441EB1" w:rsidRDefault="00483705">
      <w:pPr>
        <w:pStyle w:val="Sommario3"/>
        <w:rPr>
          <w:rFonts w:asciiTheme="minorHAnsi" w:eastAsiaTheme="minorEastAsia" w:hAnsiTheme="minorHAnsi" w:cstheme="minorBidi"/>
          <w:i w:val="0"/>
          <w:iCs w:val="0"/>
          <w:sz w:val="22"/>
          <w:szCs w:val="22"/>
          <w:lang w:eastAsia="it-IT"/>
        </w:rPr>
      </w:pPr>
      <w:hyperlink w:anchor="_Toc535854399" w:history="1">
        <w:r w:rsidR="00441EB1" w:rsidRPr="00456345">
          <w:rPr>
            <w:rStyle w:val="Collegamentoipertestuale"/>
          </w:rPr>
          <w:t>4.2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Quadro Sociale Regionale</w:t>
        </w:r>
        <w:r w:rsidR="00441EB1">
          <w:rPr>
            <w:webHidden/>
          </w:rPr>
          <w:tab/>
        </w:r>
        <w:r w:rsidR="00441EB1">
          <w:rPr>
            <w:webHidden/>
          </w:rPr>
          <w:fldChar w:fldCharType="begin"/>
        </w:r>
        <w:r w:rsidR="00441EB1">
          <w:rPr>
            <w:webHidden/>
          </w:rPr>
          <w:instrText xml:space="preserve"> PAGEREF _Toc535854399 \h </w:instrText>
        </w:r>
        <w:r w:rsidR="00441EB1">
          <w:rPr>
            <w:webHidden/>
          </w:rPr>
        </w:r>
        <w:r w:rsidR="00441EB1">
          <w:rPr>
            <w:webHidden/>
          </w:rPr>
          <w:fldChar w:fldCharType="separate"/>
        </w:r>
        <w:r w:rsidR="00441EB1">
          <w:rPr>
            <w:webHidden/>
          </w:rPr>
          <w:t>16</w:t>
        </w:r>
        <w:r w:rsidR="00441EB1">
          <w:rPr>
            <w:webHidden/>
          </w:rPr>
          <w:fldChar w:fldCharType="end"/>
        </w:r>
      </w:hyperlink>
    </w:p>
    <w:p w14:paraId="3B1F4486" w14:textId="0D3C4B86" w:rsidR="00441EB1" w:rsidRDefault="00483705">
      <w:pPr>
        <w:pStyle w:val="Sommario3"/>
        <w:rPr>
          <w:rFonts w:asciiTheme="minorHAnsi" w:eastAsiaTheme="minorEastAsia" w:hAnsiTheme="minorHAnsi" w:cstheme="minorBidi"/>
          <w:i w:val="0"/>
          <w:iCs w:val="0"/>
          <w:sz w:val="22"/>
          <w:szCs w:val="22"/>
          <w:lang w:eastAsia="it-IT"/>
        </w:rPr>
      </w:pPr>
      <w:hyperlink w:anchor="_Toc535854400" w:history="1">
        <w:r w:rsidR="00441EB1" w:rsidRPr="00456345">
          <w:rPr>
            <w:rStyle w:val="Collegamentoipertestuale"/>
          </w:rPr>
          <w:t>4.3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Quadro Sociale Comunale</w:t>
        </w:r>
        <w:r w:rsidR="00441EB1">
          <w:rPr>
            <w:webHidden/>
          </w:rPr>
          <w:tab/>
        </w:r>
        <w:r w:rsidR="00441EB1">
          <w:rPr>
            <w:webHidden/>
          </w:rPr>
          <w:fldChar w:fldCharType="begin"/>
        </w:r>
        <w:r w:rsidR="00441EB1">
          <w:rPr>
            <w:webHidden/>
          </w:rPr>
          <w:instrText xml:space="preserve"> PAGEREF _Toc535854400 \h </w:instrText>
        </w:r>
        <w:r w:rsidR="00441EB1">
          <w:rPr>
            <w:webHidden/>
          </w:rPr>
        </w:r>
        <w:r w:rsidR="00441EB1">
          <w:rPr>
            <w:webHidden/>
          </w:rPr>
          <w:fldChar w:fldCharType="separate"/>
        </w:r>
        <w:r w:rsidR="00441EB1">
          <w:rPr>
            <w:webHidden/>
          </w:rPr>
          <w:t>16</w:t>
        </w:r>
        <w:r w:rsidR="00441EB1">
          <w:rPr>
            <w:webHidden/>
          </w:rPr>
          <w:fldChar w:fldCharType="end"/>
        </w:r>
      </w:hyperlink>
    </w:p>
    <w:p w14:paraId="3994AF2F" w14:textId="79BB15F7" w:rsidR="00441EB1" w:rsidRDefault="00483705">
      <w:pPr>
        <w:pStyle w:val="Sommario3"/>
        <w:rPr>
          <w:rFonts w:asciiTheme="minorHAnsi" w:eastAsiaTheme="minorEastAsia" w:hAnsiTheme="minorHAnsi" w:cstheme="minorBidi"/>
          <w:i w:val="0"/>
          <w:iCs w:val="0"/>
          <w:sz w:val="22"/>
          <w:szCs w:val="22"/>
          <w:lang w:eastAsia="it-IT"/>
        </w:rPr>
      </w:pPr>
      <w:hyperlink w:anchor="_Toc535854401" w:history="1">
        <w:r w:rsidR="00441EB1" w:rsidRPr="00456345">
          <w:rPr>
            <w:rStyle w:val="Collegamentoipertestuale"/>
          </w:rPr>
          <w:t>4.4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Bisogni emergenti dal Quadro Socio - Economico</w:t>
        </w:r>
        <w:r w:rsidR="00441EB1">
          <w:rPr>
            <w:webHidden/>
          </w:rPr>
          <w:tab/>
        </w:r>
        <w:r w:rsidR="00441EB1">
          <w:rPr>
            <w:webHidden/>
          </w:rPr>
          <w:fldChar w:fldCharType="begin"/>
        </w:r>
        <w:r w:rsidR="00441EB1">
          <w:rPr>
            <w:webHidden/>
          </w:rPr>
          <w:instrText xml:space="preserve"> PAGEREF _Toc535854401 \h </w:instrText>
        </w:r>
        <w:r w:rsidR="00441EB1">
          <w:rPr>
            <w:webHidden/>
          </w:rPr>
        </w:r>
        <w:r w:rsidR="00441EB1">
          <w:rPr>
            <w:webHidden/>
          </w:rPr>
          <w:fldChar w:fldCharType="separate"/>
        </w:r>
        <w:r w:rsidR="00441EB1">
          <w:rPr>
            <w:webHidden/>
          </w:rPr>
          <w:t>16</w:t>
        </w:r>
        <w:r w:rsidR="00441EB1">
          <w:rPr>
            <w:webHidden/>
          </w:rPr>
          <w:fldChar w:fldCharType="end"/>
        </w:r>
      </w:hyperlink>
    </w:p>
    <w:p w14:paraId="18116423" w14:textId="3227520A" w:rsidR="00441EB1" w:rsidRDefault="00483705">
      <w:pPr>
        <w:pStyle w:val="Sommario3"/>
        <w:rPr>
          <w:rFonts w:asciiTheme="minorHAnsi" w:eastAsiaTheme="minorEastAsia" w:hAnsiTheme="minorHAnsi" w:cstheme="minorBidi"/>
          <w:i w:val="0"/>
          <w:iCs w:val="0"/>
          <w:sz w:val="22"/>
          <w:szCs w:val="22"/>
          <w:lang w:eastAsia="it-IT"/>
        </w:rPr>
      </w:pPr>
      <w:hyperlink w:anchor="_Toc535854402" w:history="1">
        <w:r w:rsidR="00441EB1" w:rsidRPr="00456345">
          <w:rPr>
            <w:rStyle w:val="Collegamentoipertestuale"/>
          </w:rPr>
          <w:t>4.5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presenza nel territorio Regionale di fenomeni di illegalità economica e di criminalità organizzata.</w:t>
        </w:r>
        <w:r w:rsidR="00441EB1">
          <w:rPr>
            <w:webHidden/>
          </w:rPr>
          <w:tab/>
        </w:r>
        <w:r w:rsidR="00441EB1">
          <w:rPr>
            <w:webHidden/>
          </w:rPr>
          <w:fldChar w:fldCharType="begin"/>
        </w:r>
        <w:r w:rsidR="00441EB1">
          <w:rPr>
            <w:webHidden/>
          </w:rPr>
          <w:instrText xml:space="preserve"> PAGEREF _Toc535854402 \h </w:instrText>
        </w:r>
        <w:r w:rsidR="00441EB1">
          <w:rPr>
            <w:webHidden/>
          </w:rPr>
        </w:r>
        <w:r w:rsidR="00441EB1">
          <w:rPr>
            <w:webHidden/>
          </w:rPr>
          <w:fldChar w:fldCharType="separate"/>
        </w:r>
        <w:r w:rsidR="00441EB1">
          <w:rPr>
            <w:webHidden/>
          </w:rPr>
          <w:t>17</w:t>
        </w:r>
        <w:r w:rsidR="00441EB1">
          <w:rPr>
            <w:webHidden/>
          </w:rPr>
          <w:fldChar w:fldCharType="end"/>
        </w:r>
      </w:hyperlink>
    </w:p>
    <w:p w14:paraId="6E3B3FD2" w14:textId="11B26527" w:rsidR="00441EB1" w:rsidRDefault="00483705">
      <w:pPr>
        <w:pStyle w:val="Sommario3"/>
        <w:rPr>
          <w:rFonts w:asciiTheme="minorHAnsi" w:eastAsiaTheme="minorEastAsia" w:hAnsiTheme="minorHAnsi" w:cstheme="minorBidi"/>
          <w:i w:val="0"/>
          <w:iCs w:val="0"/>
          <w:sz w:val="22"/>
          <w:szCs w:val="22"/>
          <w:lang w:eastAsia="it-IT"/>
        </w:rPr>
      </w:pPr>
      <w:hyperlink w:anchor="_Toc535854403" w:history="1">
        <w:r w:rsidR="00441EB1" w:rsidRPr="00456345">
          <w:rPr>
            <w:rStyle w:val="Collegamentoipertestuale"/>
          </w:rPr>
          <w:t>4.6</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presenza nel territorio Comunale di fenomeni di illegalità economica e di criminalità organizzata.</w:t>
        </w:r>
        <w:r w:rsidR="00441EB1">
          <w:rPr>
            <w:webHidden/>
          </w:rPr>
          <w:tab/>
        </w:r>
        <w:r w:rsidR="00441EB1">
          <w:rPr>
            <w:webHidden/>
          </w:rPr>
          <w:fldChar w:fldCharType="begin"/>
        </w:r>
        <w:r w:rsidR="00441EB1">
          <w:rPr>
            <w:webHidden/>
          </w:rPr>
          <w:instrText xml:space="preserve"> PAGEREF _Toc535854403 \h </w:instrText>
        </w:r>
        <w:r w:rsidR="00441EB1">
          <w:rPr>
            <w:webHidden/>
          </w:rPr>
        </w:r>
        <w:r w:rsidR="00441EB1">
          <w:rPr>
            <w:webHidden/>
          </w:rPr>
          <w:fldChar w:fldCharType="separate"/>
        </w:r>
        <w:r w:rsidR="00441EB1">
          <w:rPr>
            <w:webHidden/>
          </w:rPr>
          <w:t>18</w:t>
        </w:r>
        <w:r w:rsidR="00441EB1">
          <w:rPr>
            <w:webHidden/>
          </w:rPr>
          <w:fldChar w:fldCharType="end"/>
        </w:r>
      </w:hyperlink>
    </w:p>
    <w:p w14:paraId="720C4276" w14:textId="761F2172" w:rsidR="00441EB1" w:rsidRDefault="00483705">
      <w:pPr>
        <w:pStyle w:val="Sommario2"/>
        <w:rPr>
          <w:rFonts w:asciiTheme="minorHAnsi" w:eastAsiaTheme="minorEastAsia" w:hAnsiTheme="minorHAnsi" w:cstheme="minorBidi"/>
          <w:smallCaps w:val="0"/>
          <w:noProof/>
          <w:sz w:val="22"/>
          <w:szCs w:val="22"/>
          <w:lang w:eastAsia="it-IT"/>
        </w:rPr>
      </w:pPr>
      <w:hyperlink w:anchor="_Toc535854404" w:history="1">
        <w:r w:rsidR="00441EB1" w:rsidRPr="00456345">
          <w:rPr>
            <w:rStyle w:val="Collegamentoipertestuale"/>
            <w:noProof/>
          </w:rPr>
          <w:t>5.</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contesto interno</w:t>
        </w:r>
        <w:r w:rsidR="00441EB1">
          <w:rPr>
            <w:noProof/>
            <w:webHidden/>
          </w:rPr>
          <w:tab/>
        </w:r>
        <w:r w:rsidR="00441EB1">
          <w:rPr>
            <w:noProof/>
            <w:webHidden/>
          </w:rPr>
          <w:fldChar w:fldCharType="begin"/>
        </w:r>
        <w:r w:rsidR="00441EB1">
          <w:rPr>
            <w:noProof/>
            <w:webHidden/>
          </w:rPr>
          <w:instrText xml:space="preserve"> PAGEREF _Toc535854404 \h </w:instrText>
        </w:r>
        <w:r w:rsidR="00441EB1">
          <w:rPr>
            <w:noProof/>
            <w:webHidden/>
          </w:rPr>
        </w:r>
        <w:r w:rsidR="00441EB1">
          <w:rPr>
            <w:noProof/>
            <w:webHidden/>
          </w:rPr>
          <w:fldChar w:fldCharType="separate"/>
        </w:r>
        <w:r w:rsidR="00441EB1">
          <w:rPr>
            <w:noProof/>
            <w:webHidden/>
          </w:rPr>
          <w:t>18</w:t>
        </w:r>
        <w:r w:rsidR="00441EB1">
          <w:rPr>
            <w:noProof/>
            <w:webHidden/>
          </w:rPr>
          <w:fldChar w:fldCharType="end"/>
        </w:r>
      </w:hyperlink>
    </w:p>
    <w:p w14:paraId="5B5EADB7" w14:textId="0C1AA1A4" w:rsidR="00441EB1" w:rsidRDefault="00483705">
      <w:pPr>
        <w:pStyle w:val="Sommario3"/>
        <w:rPr>
          <w:rFonts w:asciiTheme="minorHAnsi" w:eastAsiaTheme="minorEastAsia" w:hAnsiTheme="minorHAnsi" w:cstheme="minorBidi"/>
          <w:i w:val="0"/>
          <w:iCs w:val="0"/>
          <w:sz w:val="22"/>
          <w:szCs w:val="22"/>
          <w:lang w:eastAsia="it-IT"/>
        </w:rPr>
      </w:pPr>
      <w:hyperlink w:anchor="_Toc535854405" w:history="1">
        <w:r w:rsidR="00441EB1" w:rsidRPr="00456345">
          <w:rPr>
            <w:rStyle w:val="Collegamentoipertestuale"/>
          </w:rPr>
          <w:t>5.1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L’organizzazione</w:t>
        </w:r>
        <w:r w:rsidR="00441EB1">
          <w:rPr>
            <w:webHidden/>
          </w:rPr>
          <w:tab/>
        </w:r>
        <w:r w:rsidR="00441EB1">
          <w:rPr>
            <w:webHidden/>
          </w:rPr>
          <w:fldChar w:fldCharType="begin"/>
        </w:r>
        <w:r w:rsidR="00441EB1">
          <w:rPr>
            <w:webHidden/>
          </w:rPr>
          <w:instrText xml:space="preserve"> PAGEREF _Toc535854405 \h </w:instrText>
        </w:r>
        <w:r w:rsidR="00441EB1">
          <w:rPr>
            <w:webHidden/>
          </w:rPr>
        </w:r>
        <w:r w:rsidR="00441EB1">
          <w:rPr>
            <w:webHidden/>
          </w:rPr>
          <w:fldChar w:fldCharType="separate"/>
        </w:r>
        <w:r w:rsidR="00441EB1">
          <w:rPr>
            <w:webHidden/>
          </w:rPr>
          <w:t>19</w:t>
        </w:r>
        <w:r w:rsidR="00441EB1">
          <w:rPr>
            <w:webHidden/>
          </w:rPr>
          <w:fldChar w:fldCharType="end"/>
        </w:r>
      </w:hyperlink>
    </w:p>
    <w:p w14:paraId="5A3B2144" w14:textId="5C464690" w:rsidR="00441EB1" w:rsidRDefault="00483705">
      <w:pPr>
        <w:pStyle w:val="Sommario3"/>
        <w:rPr>
          <w:rFonts w:asciiTheme="minorHAnsi" w:eastAsiaTheme="minorEastAsia" w:hAnsiTheme="minorHAnsi" w:cstheme="minorBidi"/>
          <w:i w:val="0"/>
          <w:iCs w:val="0"/>
          <w:sz w:val="22"/>
          <w:szCs w:val="22"/>
          <w:lang w:eastAsia="it-IT"/>
        </w:rPr>
      </w:pPr>
      <w:hyperlink w:anchor="_Toc535854406" w:history="1">
        <w:r w:rsidR="00441EB1" w:rsidRPr="00456345">
          <w:rPr>
            <w:rStyle w:val="Collegamentoipertestuale"/>
          </w:rPr>
          <w:t>5.2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Gli Organi societari</w:t>
        </w:r>
        <w:r w:rsidR="00441EB1">
          <w:rPr>
            <w:webHidden/>
          </w:rPr>
          <w:tab/>
        </w:r>
        <w:r w:rsidR="00441EB1">
          <w:rPr>
            <w:webHidden/>
          </w:rPr>
          <w:fldChar w:fldCharType="begin"/>
        </w:r>
        <w:r w:rsidR="00441EB1">
          <w:rPr>
            <w:webHidden/>
          </w:rPr>
          <w:instrText xml:space="preserve"> PAGEREF _Toc535854406 \h </w:instrText>
        </w:r>
        <w:r w:rsidR="00441EB1">
          <w:rPr>
            <w:webHidden/>
          </w:rPr>
        </w:r>
        <w:r w:rsidR="00441EB1">
          <w:rPr>
            <w:webHidden/>
          </w:rPr>
          <w:fldChar w:fldCharType="separate"/>
        </w:r>
        <w:r w:rsidR="00441EB1">
          <w:rPr>
            <w:webHidden/>
          </w:rPr>
          <w:t>19</w:t>
        </w:r>
        <w:r w:rsidR="00441EB1">
          <w:rPr>
            <w:webHidden/>
          </w:rPr>
          <w:fldChar w:fldCharType="end"/>
        </w:r>
      </w:hyperlink>
    </w:p>
    <w:p w14:paraId="29781B1A" w14:textId="53CDA3D9" w:rsidR="00441EB1" w:rsidRDefault="00483705">
      <w:pPr>
        <w:pStyle w:val="Sommario3"/>
        <w:rPr>
          <w:rFonts w:asciiTheme="minorHAnsi" w:eastAsiaTheme="minorEastAsia" w:hAnsiTheme="minorHAnsi" w:cstheme="minorBidi"/>
          <w:i w:val="0"/>
          <w:iCs w:val="0"/>
          <w:sz w:val="22"/>
          <w:szCs w:val="22"/>
          <w:lang w:eastAsia="it-IT"/>
        </w:rPr>
      </w:pPr>
      <w:hyperlink w:anchor="_Toc535854407" w:history="1">
        <w:r w:rsidR="00441EB1" w:rsidRPr="00456345">
          <w:rPr>
            <w:rStyle w:val="Collegamentoipertestuale"/>
          </w:rPr>
          <w:t>5.3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Macrostruttura.</w:t>
        </w:r>
        <w:r w:rsidR="00441EB1">
          <w:rPr>
            <w:webHidden/>
          </w:rPr>
          <w:tab/>
        </w:r>
        <w:r w:rsidR="00441EB1">
          <w:rPr>
            <w:webHidden/>
          </w:rPr>
          <w:fldChar w:fldCharType="begin"/>
        </w:r>
        <w:r w:rsidR="00441EB1">
          <w:rPr>
            <w:webHidden/>
          </w:rPr>
          <w:instrText xml:space="preserve"> PAGEREF _Toc535854407 \h </w:instrText>
        </w:r>
        <w:r w:rsidR="00441EB1">
          <w:rPr>
            <w:webHidden/>
          </w:rPr>
        </w:r>
        <w:r w:rsidR="00441EB1">
          <w:rPr>
            <w:webHidden/>
          </w:rPr>
          <w:fldChar w:fldCharType="separate"/>
        </w:r>
        <w:r w:rsidR="00441EB1">
          <w:rPr>
            <w:webHidden/>
          </w:rPr>
          <w:t>19</w:t>
        </w:r>
        <w:r w:rsidR="00441EB1">
          <w:rPr>
            <w:webHidden/>
          </w:rPr>
          <w:fldChar w:fldCharType="end"/>
        </w:r>
      </w:hyperlink>
    </w:p>
    <w:p w14:paraId="7FB46F69" w14:textId="4F823BBD" w:rsidR="00441EB1" w:rsidRDefault="00483705">
      <w:pPr>
        <w:pStyle w:val="Sommario2"/>
        <w:rPr>
          <w:rFonts w:asciiTheme="minorHAnsi" w:eastAsiaTheme="minorEastAsia" w:hAnsiTheme="minorHAnsi" w:cstheme="minorBidi"/>
          <w:smallCaps w:val="0"/>
          <w:noProof/>
          <w:sz w:val="22"/>
          <w:szCs w:val="22"/>
          <w:lang w:eastAsia="it-IT"/>
        </w:rPr>
      </w:pPr>
      <w:hyperlink w:anchor="_Toc535854408" w:history="1">
        <w:r w:rsidR="00441EB1" w:rsidRPr="00456345">
          <w:rPr>
            <w:rStyle w:val="Collegamentoipertestuale"/>
            <w:noProof/>
          </w:rPr>
          <w:t>6.</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Obiettivi del Piano Strategico 2019 - 2021</w:t>
        </w:r>
        <w:r w:rsidR="00441EB1">
          <w:rPr>
            <w:noProof/>
            <w:webHidden/>
          </w:rPr>
          <w:tab/>
        </w:r>
        <w:r w:rsidR="00441EB1">
          <w:rPr>
            <w:noProof/>
            <w:webHidden/>
          </w:rPr>
          <w:fldChar w:fldCharType="begin"/>
        </w:r>
        <w:r w:rsidR="00441EB1">
          <w:rPr>
            <w:noProof/>
            <w:webHidden/>
          </w:rPr>
          <w:instrText xml:space="preserve"> PAGEREF _Toc535854408 \h </w:instrText>
        </w:r>
        <w:r w:rsidR="00441EB1">
          <w:rPr>
            <w:noProof/>
            <w:webHidden/>
          </w:rPr>
        </w:r>
        <w:r w:rsidR="00441EB1">
          <w:rPr>
            <w:noProof/>
            <w:webHidden/>
          </w:rPr>
          <w:fldChar w:fldCharType="separate"/>
        </w:r>
        <w:r w:rsidR="00441EB1">
          <w:rPr>
            <w:noProof/>
            <w:webHidden/>
          </w:rPr>
          <w:t>20</w:t>
        </w:r>
        <w:r w:rsidR="00441EB1">
          <w:rPr>
            <w:noProof/>
            <w:webHidden/>
          </w:rPr>
          <w:fldChar w:fldCharType="end"/>
        </w:r>
      </w:hyperlink>
    </w:p>
    <w:p w14:paraId="48230D79" w14:textId="7CBA84A2" w:rsidR="00441EB1" w:rsidRDefault="00483705">
      <w:pPr>
        <w:pStyle w:val="Sommario3"/>
        <w:rPr>
          <w:rFonts w:asciiTheme="minorHAnsi" w:eastAsiaTheme="minorEastAsia" w:hAnsiTheme="minorHAnsi" w:cstheme="minorBidi"/>
          <w:i w:val="0"/>
          <w:iCs w:val="0"/>
          <w:sz w:val="22"/>
          <w:szCs w:val="22"/>
          <w:lang w:eastAsia="it-IT"/>
        </w:rPr>
      </w:pPr>
      <w:hyperlink w:anchor="_Toc535854409" w:history="1">
        <w:r w:rsidR="00441EB1" w:rsidRPr="00456345">
          <w:rPr>
            <w:rStyle w:val="Collegamentoipertestuale"/>
          </w:rPr>
          <w:t>6.1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Obiettivi di processo e di Output: gli interventi strategici</w:t>
        </w:r>
        <w:r w:rsidR="00441EB1">
          <w:rPr>
            <w:webHidden/>
          </w:rPr>
          <w:tab/>
        </w:r>
        <w:r w:rsidR="00441EB1">
          <w:rPr>
            <w:webHidden/>
          </w:rPr>
          <w:fldChar w:fldCharType="begin"/>
        </w:r>
        <w:r w:rsidR="00441EB1">
          <w:rPr>
            <w:webHidden/>
          </w:rPr>
          <w:instrText xml:space="preserve"> PAGEREF _Toc535854409 \h </w:instrText>
        </w:r>
        <w:r w:rsidR="00441EB1">
          <w:rPr>
            <w:webHidden/>
          </w:rPr>
        </w:r>
        <w:r w:rsidR="00441EB1">
          <w:rPr>
            <w:webHidden/>
          </w:rPr>
          <w:fldChar w:fldCharType="separate"/>
        </w:r>
        <w:r w:rsidR="00441EB1">
          <w:rPr>
            <w:webHidden/>
          </w:rPr>
          <w:t>21</w:t>
        </w:r>
        <w:r w:rsidR="00441EB1">
          <w:rPr>
            <w:webHidden/>
          </w:rPr>
          <w:fldChar w:fldCharType="end"/>
        </w:r>
      </w:hyperlink>
    </w:p>
    <w:p w14:paraId="03C8BE64" w14:textId="1C38486B" w:rsidR="00441EB1" w:rsidRDefault="00483705">
      <w:pPr>
        <w:pStyle w:val="Sommario4"/>
        <w:rPr>
          <w:rFonts w:asciiTheme="minorHAnsi" w:eastAsiaTheme="minorEastAsia" w:hAnsiTheme="minorHAnsi" w:cstheme="minorBidi"/>
          <w:sz w:val="22"/>
          <w:szCs w:val="22"/>
        </w:rPr>
      </w:pPr>
      <w:hyperlink w:anchor="_Toc535854410" w:history="1">
        <w:r w:rsidR="00441EB1" w:rsidRPr="00456345">
          <w:rPr>
            <w:rStyle w:val="Collegamentoipertestuale"/>
            <w:b/>
          </w:rPr>
          <w:t>6.1.1.</w:t>
        </w:r>
        <w:r w:rsidR="00441EB1">
          <w:rPr>
            <w:rFonts w:asciiTheme="minorHAnsi" w:eastAsiaTheme="minorEastAsia" w:hAnsiTheme="minorHAnsi" w:cstheme="minorBidi"/>
            <w:sz w:val="22"/>
            <w:szCs w:val="22"/>
          </w:rPr>
          <w:tab/>
        </w:r>
        <w:r w:rsidR="00441EB1" w:rsidRPr="00456345">
          <w:rPr>
            <w:rStyle w:val="Collegamentoipertestuale"/>
            <w:b/>
          </w:rPr>
          <w:t>Obiettivi di Processo</w:t>
        </w:r>
        <w:r w:rsidR="00441EB1">
          <w:rPr>
            <w:webHidden/>
          </w:rPr>
          <w:tab/>
        </w:r>
        <w:r w:rsidR="00441EB1">
          <w:rPr>
            <w:webHidden/>
          </w:rPr>
          <w:fldChar w:fldCharType="begin"/>
        </w:r>
        <w:r w:rsidR="00441EB1">
          <w:rPr>
            <w:webHidden/>
          </w:rPr>
          <w:instrText xml:space="preserve"> PAGEREF _Toc535854410 \h </w:instrText>
        </w:r>
        <w:r w:rsidR="00441EB1">
          <w:rPr>
            <w:webHidden/>
          </w:rPr>
        </w:r>
        <w:r w:rsidR="00441EB1">
          <w:rPr>
            <w:webHidden/>
          </w:rPr>
          <w:fldChar w:fldCharType="separate"/>
        </w:r>
        <w:r w:rsidR="00441EB1">
          <w:rPr>
            <w:webHidden/>
          </w:rPr>
          <w:t>21</w:t>
        </w:r>
        <w:r w:rsidR="00441EB1">
          <w:rPr>
            <w:webHidden/>
          </w:rPr>
          <w:fldChar w:fldCharType="end"/>
        </w:r>
      </w:hyperlink>
    </w:p>
    <w:p w14:paraId="473CB73A" w14:textId="41913ED0" w:rsidR="00441EB1" w:rsidRDefault="00483705">
      <w:pPr>
        <w:pStyle w:val="Sommario4"/>
        <w:rPr>
          <w:rFonts w:asciiTheme="minorHAnsi" w:eastAsiaTheme="minorEastAsia" w:hAnsiTheme="minorHAnsi" w:cstheme="minorBidi"/>
          <w:sz w:val="22"/>
          <w:szCs w:val="22"/>
        </w:rPr>
      </w:pPr>
      <w:hyperlink w:anchor="_Toc535854411" w:history="1">
        <w:r w:rsidR="00441EB1" w:rsidRPr="00456345">
          <w:rPr>
            <w:rStyle w:val="Collegamentoipertestuale"/>
            <w:b/>
          </w:rPr>
          <w:t>6.1.2.</w:t>
        </w:r>
        <w:r w:rsidR="00441EB1">
          <w:rPr>
            <w:rFonts w:asciiTheme="minorHAnsi" w:eastAsiaTheme="minorEastAsia" w:hAnsiTheme="minorHAnsi" w:cstheme="minorBidi"/>
            <w:sz w:val="22"/>
            <w:szCs w:val="22"/>
          </w:rPr>
          <w:tab/>
        </w:r>
        <w:r w:rsidR="00441EB1" w:rsidRPr="00456345">
          <w:rPr>
            <w:rStyle w:val="Collegamentoipertestuale"/>
            <w:b/>
          </w:rPr>
          <w:t>Obiettivi di Output</w:t>
        </w:r>
        <w:r w:rsidR="00441EB1">
          <w:rPr>
            <w:webHidden/>
          </w:rPr>
          <w:tab/>
        </w:r>
        <w:r w:rsidR="00441EB1">
          <w:rPr>
            <w:webHidden/>
          </w:rPr>
          <w:fldChar w:fldCharType="begin"/>
        </w:r>
        <w:r w:rsidR="00441EB1">
          <w:rPr>
            <w:webHidden/>
          </w:rPr>
          <w:instrText xml:space="preserve"> PAGEREF _Toc535854411 \h </w:instrText>
        </w:r>
        <w:r w:rsidR="00441EB1">
          <w:rPr>
            <w:webHidden/>
          </w:rPr>
        </w:r>
        <w:r w:rsidR="00441EB1">
          <w:rPr>
            <w:webHidden/>
          </w:rPr>
          <w:fldChar w:fldCharType="separate"/>
        </w:r>
        <w:r w:rsidR="00441EB1">
          <w:rPr>
            <w:webHidden/>
          </w:rPr>
          <w:t>21</w:t>
        </w:r>
        <w:r w:rsidR="00441EB1">
          <w:rPr>
            <w:webHidden/>
          </w:rPr>
          <w:fldChar w:fldCharType="end"/>
        </w:r>
      </w:hyperlink>
    </w:p>
    <w:p w14:paraId="7F4E0F0C" w14:textId="384F9F8B" w:rsidR="00441EB1" w:rsidRDefault="00483705">
      <w:pPr>
        <w:pStyle w:val="Sommario2"/>
        <w:rPr>
          <w:rFonts w:asciiTheme="minorHAnsi" w:eastAsiaTheme="minorEastAsia" w:hAnsiTheme="minorHAnsi" w:cstheme="minorBidi"/>
          <w:smallCaps w:val="0"/>
          <w:noProof/>
          <w:sz w:val="22"/>
          <w:szCs w:val="22"/>
          <w:lang w:eastAsia="it-IT"/>
        </w:rPr>
      </w:pPr>
      <w:hyperlink w:anchor="_Toc535854412" w:history="1">
        <w:r w:rsidR="00441EB1" w:rsidRPr="00456345">
          <w:rPr>
            <w:rStyle w:val="Collegamentoipertestuale"/>
            <w:noProof/>
          </w:rPr>
          <w:t>7.</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PTPCT - struttura e processo di elaborazione ed aggiornamento</w:t>
        </w:r>
        <w:r w:rsidR="00441EB1">
          <w:rPr>
            <w:noProof/>
            <w:webHidden/>
          </w:rPr>
          <w:tab/>
        </w:r>
        <w:r w:rsidR="00441EB1">
          <w:rPr>
            <w:noProof/>
            <w:webHidden/>
          </w:rPr>
          <w:fldChar w:fldCharType="begin"/>
        </w:r>
        <w:r w:rsidR="00441EB1">
          <w:rPr>
            <w:noProof/>
            <w:webHidden/>
          </w:rPr>
          <w:instrText xml:space="preserve"> PAGEREF _Toc535854412 \h </w:instrText>
        </w:r>
        <w:r w:rsidR="00441EB1">
          <w:rPr>
            <w:noProof/>
            <w:webHidden/>
          </w:rPr>
        </w:r>
        <w:r w:rsidR="00441EB1">
          <w:rPr>
            <w:noProof/>
            <w:webHidden/>
          </w:rPr>
          <w:fldChar w:fldCharType="separate"/>
        </w:r>
        <w:r w:rsidR="00441EB1">
          <w:rPr>
            <w:noProof/>
            <w:webHidden/>
          </w:rPr>
          <w:t>22</w:t>
        </w:r>
        <w:r w:rsidR="00441EB1">
          <w:rPr>
            <w:noProof/>
            <w:webHidden/>
          </w:rPr>
          <w:fldChar w:fldCharType="end"/>
        </w:r>
      </w:hyperlink>
    </w:p>
    <w:p w14:paraId="70A43D89" w14:textId="11641AA9" w:rsidR="00441EB1" w:rsidRDefault="00483705">
      <w:pPr>
        <w:pStyle w:val="Sommario3"/>
        <w:rPr>
          <w:rFonts w:asciiTheme="minorHAnsi" w:eastAsiaTheme="minorEastAsia" w:hAnsiTheme="minorHAnsi" w:cstheme="minorBidi"/>
          <w:i w:val="0"/>
          <w:iCs w:val="0"/>
          <w:sz w:val="22"/>
          <w:szCs w:val="22"/>
          <w:lang w:eastAsia="it-IT"/>
        </w:rPr>
      </w:pPr>
      <w:hyperlink w:anchor="_Toc535854413" w:history="1">
        <w:r w:rsidR="00441EB1" w:rsidRPr="00456345">
          <w:rPr>
            <w:rStyle w:val="Collegamentoipertestuale"/>
          </w:rPr>
          <w:t>7.1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Struttura del PTPCT</w:t>
        </w:r>
        <w:r w:rsidR="00441EB1">
          <w:rPr>
            <w:webHidden/>
          </w:rPr>
          <w:tab/>
        </w:r>
        <w:r w:rsidR="00441EB1">
          <w:rPr>
            <w:webHidden/>
          </w:rPr>
          <w:fldChar w:fldCharType="begin"/>
        </w:r>
        <w:r w:rsidR="00441EB1">
          <w:rPr>
            <w:webHidden/>
          </w:rPr>
          <w:instrText xml:space="preserve"> PAGEREF _Toc535854413 \h </w:instrText>
        </w:r>
        <w:r w:rsidR="00441EB1">
          <w:rPr>
            <w:webHidden/>
          </w:rPr>
        </w:r>
        <w:r w:rsidR="00441EB1">
          <w:rPr>
            <w:webHidden/>
          </w:rPr>
          <w:fldChar w:fldCharType="separate"/>
        </w:r>
        <w:r w:rsidR="00441EB1">
          <w:rPr>
            <w:webHidden/>
          </w:rPr>
          <w:t>22</w:t>
        </w:r>
        <w:r w:rsidR="00441EB1">
          <w:rPr>
            <w:webHidden/>
          </w:rPr>
          <w:fldChar w:fldCharType="end"/>
        </w:r>
      </w:hyperlink>
    </w:p>
    <w:p w14:paraId="67D9AC79" w14:textId="56E281A7" w:rsidR="00441EB1" w:rsidRDefault="00483705">
      <w:pPr>
        <w:pStyle w:val="Sommario3"/>
        <w:rPr>
          <w:rFonts w:asciiTheme="minorHAnsi" w:eastAsiaTheme="minorEastAsia" w:hAnsiTheme="minorHAnsi" w:cstheme="minorBidi"/>
          <w:i w:val="0"/>
          <w:iCs w:val="0"/>
          <w:sz w:val="22"/>
          <w:szCs w:val="22"/>
          <w:lang w:eastAsia="it-IT"/>
        </w:rPr>
      </w:pPr>
      <w:hyperlink w:anchor="_Toc535854414" w:history="1">
        <w:r w:rsidR="00441EB1" w:rsidRPr="00456345">
          <w:rPr>
            <w:rStyle w:val="Collegamentoipertestuale"/>
          </w:rPr>
          <w:t>7.2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processo di elaborazione</w:t>
        </w:r>
        <w:r w:rsidR="00441EB1">
          <w:rPr>
            <w:webHidden/>
          </w:rPr>
          <w:tab/>
        </w:r>
        <w:r w:rsidR="00441EB1">
          <w:rPr>
            <w:webHidden/>
          </w:rPr>
          <w:fldChar w:fldCharType="begin"/>
        </w:r>
        <w:r w:rsidR="00441EB1">
          <w:rPr>
            <w:webHidden/>
          </w:rPr>
          <w:instrText xml:space="preserve"> PAGEREF _Toc535854414 \h </w:instrText>
        </w:r>
        <w:r w:rsidR="00441EB1">
          <w:rPr>
            <w:webHidden/>
          </w:rPr>
        </w:r>
        <w:r w:rsidR="00441EB1">
          <w:rPr>
            <w:webHidden/>
          </w:rPr>
          <w:fldChar w:fldCharType="separate"/>
        </w:r>
        <w:r w:rsidR="00441EB1">
          <w:rPr>
            <w:webHidden/>
          </w:rPr>
          <w:t>22</w:t>
        </w:r>
        <w:r w:rsidR="00441EB1">
          <w:rPr>
            <w:webHidden/>
          </w:rPr>
          <w:fldChar w:fldCharType="end"/>
        </w:r>
      </w:hyperlink>
    </w:p>
    <w:p w14:paraId="24BA99F7" w14:textId="7A50B909" w:rsidR="00441EB1" w:rsidRDefault="00483705">
      <w:pPr>
        <w:pStyle w:val="Sommario3"/>
        <w:rPr>
          <w:rFonts w:asciiTheme="minorHAnsi" w:eastAsiaTheme="minorEastAsia" w:hAnsiTheme="minorHAnsi" w:cstheme="minorBidi"/>
          <w:i w:val="0"/>
          <w:iCs w:val="0"/>
          <w:sz w:val="22"/>
          <w:szCs w:val="22"/>
          <w:lang w:eastAsia="it-IT"/>
        </w:rPr>
      </w:pPr>
      <w:hyperlink w:anchor="_Toc535854415" w:history="1">
        <w:r w:rsidR="00441EB1" w:rsidRPr="00456345">
          <w:rPr>
            <w:rStyle w:val="Collegamentoipertestuale"/>
          </w:rPr>
          <w:t>7.3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metodologia per la predisposizione del Piano</w:t>
        </w:r>
        <w:r w:rsidR="00441EB1">
          <w:rPr>
            <w:webHidden/>
          </w:rPr>
          <w:tab/>
        </w:r>
        <w:r w:rsidR="00441EB1">
          <w:rPr>
            <w:webHidden/>
          </w:rPr>
          <w:fldChar w:fldCharType="begin"/>
        </w:r>
        <w:r w:rsidR="00441EB1">
          <w:rPr>
            <w:webHidden/>
          </w:rPr>
          <w:instrText xml:space="preserve"> PAGEREF _Toc535854415 \h </w:instrText>
        </w:r>
        <w:r w:rsidR="00441EB1">
          <w:rPr>
            <w:webHidden/>
          </w:rPr>
        </w:r>
        <w:r w:rsidR="00441EB1">
          <w:rPr>
            <w:webHidden/>
          </w:rPr>
          <w:fldChar w:fldCharType="separate"/>
        </w:r>
        <w:r w:rsidR="00441EB1">
          <w:rPr>
            <w:webHidden/>
          </w:rPr>
          <w:t>23</w:t>
        </w:r>
        <w:r w:rsidR="00441EB1">
          <w:rPr>
            <w:webHidden/>
          </w:rPr>
          <w:fldChar w:fldCharType="end"/>
        </w:r>
      </w:hyperlink>
    </w:p>
    <w:p w14:paraId="25B163D0" w14:textId="0E5DE33F" w:rsidR="00441EB1" w:rsidRDefault="00483705">
      <w:pPr>
        <w:pStyle w:val="Sommario4"/>
        <w:rPr>
          <w:rFonts w:asciiTheme="minorHAnsi" w:eastAsiaTheme="minorEastAsia" w:hAnsiTheme="minorHAnsi" w:cstheme="minorBidi"/>
          <w:sz w:val="22"/>
          <w:szCs w:val="22"/>
        </w:rPr>
      </w:pPr>
      <w:hyperlink w:anchor="_Toc535854416" w:history="1">
        <w:r w:rsidR="00441EB1" w:rsidRPr="00456345">
          <w:rPr>
            <w:rStyle w:val="Collegamentoipertestuale"/>
            <w:b/>
          </w:rPr>
          <w:t>7.3.1.</w:t>
        </w:r>
        <w:r w:rsidR="00441EB1">
          <w:rPr>
            <w:rFonts w:asciiTheme="minorHAnsi" w:eastAsiaTheme="minorEastAsia" w:hAnsiTheme="minorHAnsi" w:cstheme="minorBidi"/>
            <w:sz w:val="22"/>
            <w:szCs w:val="22"/>
          </w:rPr>
          <w:tab/>
        </w:r>
        <w:r w:rsidR="00441EB1" w:rsidRPr="00456345">
          <w:rPr>
            <w:rStyle w:val="Collegamentoipertestuale"/>
            <w:b/>
          </w:rPr>
          <w:t>La pianificazione</w:t>
        </w:r>
        <w:r w:rsidR="00441EB1">
          <w:rPr>
            <w:webHidden/>
          </w:rPr>
          <w:tab/>
        </w:r>
        <w:r w:rsidR="00441EB1">
          <w:rPr>
            <w:webHidden/>
          </w:rPr>
          <w:fldChar w:fldCharType="begin"/>
        </w:r>
        <w:r w:rsidR="00441EB1">
          <w:rPr>
            <w:webHidden/>
          </w:rPr>
          <w:instrText xml:space="preserve"> PAGEREF _Toc535854416 \h </w:instrText>
        </w:r>
        <w:r w:rsidR="00441EB1">
          <w:rPr>
            <w:webHidden/>
          </w:rPr>
        </w:r>
        <w:r w:rsidR="00441EB1">
          <w:rPr>
            <w:webHidden/>
          </w:rPr>
          <w:fldChar w:fldCharType="separate"/>
        </w:r>
        <w:r w:rsidR="00441EB1">
          <w:rPr>
            <w:webHidden/>
          </w:rPr>
          <w:t>23</w:t>
        </w:r>
        <w:r w:rsidR="00441EB1">
          <w:rPr>
            <w:webHidden/>
          </w:rPr>
          <w:fldChar w:fldCharType="end"/>
        </w:r>
      </w:hyperlink>
    </w:p>
    <w:p w14:paraId="214ED631" w14:textId="05878A0D" w:rsidR="00441EB1" w:rsidRDefault="00483705">
      <w:pPr>
        <w:pStyle w:val="Sommario4"/>
        <w:rPr>
          <w:rFonts w:asciiTheme="minorHAnsi" w:eastAsiaTheme="minorEastAsia" w:hAnsiTheme="minorHAnsi" w:cstheme="minorBidi"/>
          <w:sz w:val="22"/>
          <w:szCs w:val="22"/>
        </w:rPr>
      </w:pPr>
      <w:hyperlink w:anchor="_Toc535854417" w:history="1">
        <w:r w:rsidR="00441EB1" w:rsidRPr="00456345">
          <w:rPr>
            <w:rStyle w:val="Collegamentoipertestuale"/>
            <w:b/>
          </w:rPr>
          <w:t>7.3.2.</w:t>
        </w:r>
        <w:r w:rsidR="00441EB1">
          <w:rPr>
            <w:rFonts w:asciiTheme="minorHAnsi" w:eastAsiaTheme="minorEastAsia" w:hAnsiTheme="minorHAnsi" w:cstheme="minorBidi"/>
            <w:sz w:val="22"/>
            <w:szCs w:val="22"/>
          </w:rPr>
          <w:tab/>
        </w:r>
        <w:r w:rsidR="00441EB1" w:rsidRPr="00456345">
          <w:rPr>
            <w:rStyle w:val="Collegamentoipertestuale"/>
            <w:b/>
          </w:rPr>
          <w:t>La mappatura, l’analisi e la valutazione del rischio dei processi</w:t>
        </w:r>
        <w:r w:rsidR="00441EB1">
          <w:rPr>
            <w:webHidden/>
          </w:rPr>
          <w:tab/>
        </w:r>
        <w:r w:rsidR="00441EB1">
          <w:rPr>
            <w:webHidden/>
          </w:rPr>
          <w:fldChar w:fldCharType="begin"/>
        </w:r>
        <w:r w:rsidR="00441EB1">
          <w:rPr>
            <w:webHidden/>
          </w:rPr>
          <w:instrText xml:space="preserve"> PAGEREF _Toc535854417 \h </w:instrText>
        </w:r>
        <w:r w:rsidR="00441EB1">
          <w:rPr>
            <w:webHidden/>
          </w:rPr>
        </w:r>
        <w:r w:rsidR="00441EB1">
          <w:rPr>
            <w:webHidden/>
          </w:rPr>
          <w:fldChar w:fldCharType="separate"/>
        </w:r>
        <w:r w:rsidR="00441EB1">
          <w:rPr>
            <w:webHidden/>
          </w:rPr>
          <w:t>24</w:t>
        </w:r>
        <w:r w:rsidR="00441EB1">
          <w:rPr>
            <w:webHidden/>
          </w:rPr>
          <w:fldChar w:fldCharType="end"/>
        </w:r>
      </w:hyperlink>
    </w:p>
    <w:p w14:paraId="687BCF0B" w14:textId="5610BF42" w:rsidR="00441EB1" w:rsidRDefault="00483705">
      <w:pPr>
        <w:pStyle w:val="Sommario4"/>
        <w:rPr>
          <w:rFonts w:asciiTheme="minorHAnsi" w:eastAsiaTheme="minorEastAsia" w:hAnsiTheme="minorHAnsi" w:cstheme="minorBidi"/>
          <w:sz w:val="22"/>
          <w:szCs w:val="22"/>
        </w:rPr>
      </w:pPr>
      <w:hyperlink w:anchor="_Toc535854418" w:history="1">
        <w:r w:rsidR="00441EB1" w:rsidRPr="00456345">
          <w:rPr>
            <w:rStyle w:val="Collegamentoipertestuale"/>
            <w:b/>
          </w:rPr>
          <w:t>7.3.3.</w:t>
        </w:r>
        <w:r w:rsidR="00441EB1">
          <w:rPr>
            <w:rFonts w:asciiTheme="minorHAnsi" w:eastAsiaTheme="minorEastAsia" w:hAnsiTheme="minorHAnsi" w:cstheme="minorBidi"/>
            <w:sz w:val="22"/>
            <w:szCs w:val="22"/>
          </w:rPr>
          <w:tab/>
        </w:r>
        <w:r w:rsidR="00441EB1" w:rsidRPr="00456345">
          <w:rPr>
            <w:rStyle w:val="Collegamentoipertestuale"/>
            <w:b/>
          </w:rPr>
          <w:t>Le misure di trattamento del rischio</w:t>
        </w:r>
        <w:r w:rsidR="00441EB1">
          <w:rPr>
            <w:webHidden/>
          </w:rPr>
          <w:tab/>
        </w:r>
        <w:r w:rsidR="00441EB1">
          <w:rPr>
            <w:webHidden/>
          </w:rPr>
          <w:fldChar w:fldCharType="begin"/>
        </w:r>
        <w:r w:rsidR="00441EB1">
          <w:rPr>
            <w:webHidden/>
          </w:rPr>
          <w:instrText xml:space="preserve"> PAGEREF _Toc535854418 \h </w:instrText>
        </w:r>
        <w:r w:rsidR="00441EB1">
          <w:rPr>
            <w:webHidden/>
          </w:rPr>
        </w:r>
        <w:r w:rsidR="00441EB1">
          <w:rPr>
            <w:webHidden/>
          </w:rPr>
          <w:fldChar w:fldCharType="separate"/>
        </w:r>
        <w:r w:rsidR="00441EB1">
          <w:rPr>
            <w:webHidden/>
          </w:rPr>
          <w:t>24</w:t>
        </w:r>
        <w:r w:rsidR="00441EB1">
          <w:rPr>
            <w:webHidden/>
          </w:rPr>
          <w:fldChar w:fldCharType="end"/>
        </w:r>
      </w:hyperlink>
    </w:p>
    <w:p w14:paraId="70C2D081" w14:textId="29B328D8" w:rsidR="00441EB1" w:rsidRDefault="00483705">
      <w:pPr>
        <w:pStyle w:val="Sommario4"/>
        <w:rPr>
          <w:rFonts w:asciiTheme="minorHAnsi" w:eastAsiaTheme="minorEastAsia" w:hAnsiTheme="minorHAnsi" w:cstheme="minorBidi"/>
          <w:sz w:val="22"/>
          <w:szCs w:val="22"/>
        </w:rPr>
      </w:pPr>
      <w:hyperlink w:anchor="_Toc535854419" w:history="1">
        <w:r w:rsidR="00441EB1" w:rsidRPr="00456345">
          <w:rPr>
            <w:rStyle w:val="Collegamentoipertestuale"/>
            <w:b/>
          </w:rPr>
          <w:t>7.3.4.</w:t>
        </w:r>
        <w:r w:rsidR="00441EB1">
          <w:rPr>
            <w:rFonts w:asciiTheme="minorHAnsi" w:eastAsiaTheme="minorEastAsia" w:hAnsiTheme="minorHAnsi" w:cstheme="minorBidi"/>
            <w:sz w:val="22"/>
            <w:szCs w:val="22"/>
          </w:rPr>
          <w:tab/>
        </w:r>
        <w:r w:rsidR="00441EB1" w:rsidRPr="00456345">
          <w:rPr>
            <w:rStyle w:val="Collegamentoipertestuale"/>
            <w:b/>
          </w:rPr>
          <w:t>La stesura del Piano</w:t>
        </w:r>
        <w:r w:rsidR="00441EB1">
          <w:rPr>
            <w:webHidden/>
          </w:rPr>
          <w:tab/>
        </w:r>
        <w:r w:rsidR="00441EB1">
          <w:rPr>
            <w:webHidden/>
          </w:rPr>
          <w:fldChar w:fldCharType="begin"/>
        </w:r>
        <w:r w:rsidR="00441EB1">
          <w:rPr>
            <w:webHidden/>
          </w:rPr>
          <w:instrText xml:space="preserve"> PAGEREF _Toc535854419 \h </w:instrText>
        </w:r>
        <w:r w:rsidR="00441EB1">
          <w:rPr>
            <w:webHidden/>
          </w:rPr>
        </w:r>
        <w:r w:rsidR="00441EB1">
          <w:rPr>
            <w:webHidden/>
          </w:rPr>
          <w:fldChar w:fldCharType="separate"/>
        </w:r>
        <w:r w:rsidR="00441EB1">
          <w:rPr>
            <w:webHidden/>
          </w:rPr>
          <w:t>25</w:t>
        </w:r>
        <w:r w:rsidR="00441EB1">
          <w:rPr>
            <w:webHidden/>
          </w:rPr>
          <w:fldChar w:fldCharType="end"/>
        </w:r>
      </w:hyperlink>
    </w:p>
    <w:p w14:paraId="7CC5DA33" w14:textId="09A270B3" w:rsidR="00441EB1" w:rsidRDefault="00483705">
      <w:pPr>
        <w:pStyle w:val="Sommario4"/>
        <w:rPr>
          <w:rFonts w:asciiTheme="minorHAnsi" w:eastAsiaTheme="minorEastAsia" w:hAnsiTheme="minorHAnsi" w:cstheme="minorBidi"/>
          <w:sz w:val="22"/>
          <w:szCs w:val="22"/>
        </w:rPr>
      </w:pPr>
      <w:hyperlink w:anchor="_Toc535854420" w:history="1">
        <w:r w:rsidR="00441EB1" w:rsidRPr="00456345">
          <w:rPr>
            <w:rStyle w:val="Collegamentoipertestuale"/>
            <w:b/>
          </w:rPr>
          <w:t xml:space="preserve">7.3.5. </w:t>
        </w:r>
        <w:r w:rsidR="00441EB1">
          <w:rPr>
            <w:rFonts w:asciiTheme="minorHAnsi" w:eastAsiaTheme="minorEastAsia" w:hAnsiTheme="minorHAnsi" w:cstheme="minorBidi"/>
            <w:sz w:val="22"/>
            <w:szCs w:val="22"/>
          </w:rPr>
          <w:tab/>
        </w:r>
        <w:r w:rsidR="00441EB1" w:rsidRPr="00456345">
          <w:rPr>
            <w:rStyle w:val="Collegamentoipertestuale"/>
            <w:b/>
          </w:rPr>
          <w:t>Entrata in vigore</w:t>
        </w:r>
        <w:r w:rsidR="00441EB1">
          <w:rPr>
            <w:webHidden/>
          </w:rPr>
          <w:tab/>
        </w:r>
        <w:r w:rsidR="00441EB1">
          <w:rPr>
            <w:webHidden/>
          </w:rPr>
          <w:fldChar w:fldCharType="begin"/>
        </w:r>
        <w:r w:rsidR="00441EB1">
          <w:rPr>
            <w:webHidden/>
          </w:rPr>
          <w:instrText xml:space="preserve"> PAGEREF _Toc535854420 \h </w:instrText>
        </w:r>
        <w:r w:rsidR="00441EB1">
          <w:rPr>
            <w:webHidden/>
          </w:rPr>
        </w:r>
        <w:r w:rsidR="00441EB1">
          <w:rPr>
            <w:webHidden/>
          </w:rPr>
          <w:fldChar w:fldCharType="separate"/>
        </w:r>
        <w:r w:rsidR="00441EB1">
          <w:rPr>
            <w:webHidden/>
          </w:rPr>
          <w:t>25</w:t>
        </w:r>
        <w:r w:rsidR="00441EB1">
          <w:rPr>
            <w:webHidden/>
          </w:rPr>
          <w:fldChar w:fldCharType="end"/>
        </w:r>
      </w:hyperlink>
    </w:p>
    <w:p w14:paraId="4D50C1C0" w14:textId="6D5DE91E" w:rsidR="00441EB1" w:rsidRDefault="00483705">
      <w:pPr>
        <w:pStyle w:val="Sommario4"/>
        <w:rPr>
          <w:rFonts w:asciiTheme="minorHAnsi" w:eastAsiaTheme="minorEastAsia" w:hAnsiTheme="minorHAnsi" w:cstheme="minorBidi"/>
          <w:sz w:val="22"/>
          <w:szCs w:val="22"/>
        </w:rPr>
      </w:pPr>
      <w:hyperlink w:anchor="_Toc535854421" w:history="1">
        <w:r w:rsidR="00441EB1" w:rsidRPr="00456345">
          <w:rPr>
            <w:rStyle w:val="Collegamentoipertestuale"/>
            <w:b/>
          </w:rPr>
          <w:t xml:space="preserve">7.3.6. </w:t>
        </w:r>
        <w:r w:rsidR="00441EB1">
          <w:rPr>
            <w:rFonts w:asciiTheme="minorHAnsi" w:eastAsiaTheme="minorEastAsia" w:hAnsiTheme="minorHAnsi" w:cstheme="minorBidi"/>
            <w:sz w:val="22"/>
            <w:szCs w:val="22"/>
          </w:rPr>
          <w:tab/>
        </w:r>
        <w:r w:rsidR="00441EB1" w:rsidRPr="00456345">
          <w:rPr>
            <w:rStyle w:val="Collegamentoipertestuale"/>
            <w:b/>
          </w:rPr>
          <w:t>Disciplina della procedura per l’aggiornamento del PTPCT.</w:t>
        </w:r>
        <w:r w:rsidR="00441EB1">
          <w:rPr>
            <w:webHidden/>
          </w:rPr>
          <w:tab/>
        </w:r>
        <w:r w:rsidR="00441EB1">
          <w:rPr>
            <w:webHidden/>
          </w:rPr>
          <w:fldChar w:fldCharType="begin"/>
        </w:r>
        <w:r w:rsidR="00441EB1">
          <w:rPr>
            <w:webHidden/>
          </w:rPr>
          <w:instrText xml:space="preserve"> PAGEREF _Toc535854421 \h </w:instrText>
        </w:r>
        <w:r w:rsidR="00441EB1">
          <w:rPr>
            <w:webHidden/>
          </w:rPr>
        </w:r>
        <w:r w:rsidR="00441EB1">
          <w:rPr>
            <w:webHidden/>
          </w:rPr>
          <w:fldChar w:fldCharType="separate"/>
        </w:r>
        <w:r w:rsidR="00441EB1">
          <w:rPr>
            <w:webHidden/>
          </w:rPr>
          <w:t>25</w:t>
        </w:r>
        <w:r w:rsidR="00441EB1">
          <w:rPr>
            <w:webHidden/>
          </w:rPr>
          <w:fldChar w:fldCharType="end"/>
        </w:r>
      </w:hyperlink>
    </w:p>
    <w:p w14:paraId="2E25B9E5" w14:textId="236FD16B" w:rsidR="00441EB1" w:rsidRDefault="00483705">
      <w:pPr>
        <w:pStyle w:val="Sommario2"/>
        <w:rPr>
          <w:rFonts w:asciiTheme="minorHAnsi" w:eastAsiaTheme="minorEastAsia" w:hAnsiTheme="minorHAnsi" w:cstheme="minorBidi"/>
          <w:smallCaps w:val="0"/>
          <w:noProof/>
          <w:sz w:val="22"/>
          <w:szCs w:val="22"/>
          <w:lang w:eastAsia="it-IT"/>
        </w:rPr>
      </w:pPr>
      <w:hyperlink w:anchor="_Toc535854422" w:history="1">
        <w:r w:rsidR="00441EB1" w:rsidRPr="00456345">
          <w:rPr>
            <w:rStyle w:val="Collegamentoipertestuale"/>
            <w:noProof/>
          </w:rPr>
          <w:t>8.</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misure di trasparenza: il collegamento con il D. Lgs. 33/2013</w:t>
        </w:r>
        <w:r w:rsidR="00441EB1">
          <w:rPr>
            <w:noProof/>
            <w:webHidden/>
          </w:rPr>
          <w:tab/>
        </w:r>
        <w:r w:rsidR="00441EB1">
          <w:rPr>
            <w:noProof/>
            <w:webHidden/>
          </w:rPr>
          <w:fldChar w:fldCharType="begin"/>
        </w:r>
        <w:r w:rsidR="00441EB1">
          <w:rPr>
            <w:noProof/>
            <w:webHidden/>
          </w:rPr>
          <w:instrText xml:space="preserve"> PAGEREF _Toc535854422 \h </w:instrText>
        </w:r>
        <w:r w:rsidR="00441EB1">
          <w:rPr>
            <w:noProof/>
            <w:webHidden/>
          </w:rPr>
        </w:r>
        <w:r w:rsidR="00441EB1">
          <w:rPr>
            <w:noProof/>
            <w:webHidden/>
          </w:rPr>
          <w:fldChar w:fldCharType="separate"/>
        </w:r>
        <w:r w:rsidR="00441EB1">
          <w:rPr>
            <w:noProof/>
            <w:webHidden/>
          </w:rPr>
          <w:t>26</w:t>
        </w:r>
        <w:r w:rsidR="00441EB1">
          <w:rPr>
            <w:noProof/>
            <w:webHidden/>
          </w:rPr>
          <w:fldChar w:fldCharType="end"/>
        </w:r>
      </w:hyperlink>
    </w:p>
    <w:p w14:paraId="7859432E" w14:textId="1EEB9474" w:rsidR="00441EB1" w:rsidRDefault="00483705">
      <w:pPr>
        <w:pStyle w:val="Sommario2"/>
        <w:rPr>
          <w:rFonts w:asciiTheme="minorHAnsi" w:eastAsiaTheme="minorEastAsia" w:hAnsiTheme="minorHAnsi" w:cstheme="minorBidi"/>
          <w:smallCaps w:val="0"/>
          <w:noProof/>
          <w:sz w:val="22"/>
          <w:szCs w:val="22"/>
          <w:lang w:eastAsia="it-IT"/>
        </w:rPr>
      </w:pPr>
      <w:hyperlink w:anchor="_Toc535854423" w:history="1">
        <w:r w:rsidR="00441EB1" w:rsidRPr="00456345">
          <w:rPr>
            <w:rStyle w:val="Collegamentoipertestuale"/>
            <w:noProof/>
          </w:rPr>
          <w:t>9.</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misure in materia di Controlli, Gestione dei Rischi e Certificazioni</w:t>
        </w:r>
        <w:r w:rsidR="00441EB1">
          <w:rPr>
            <w:noProof/>
            <w:webHidden/>
          </w:rPr>
          <w:tab/>
        </w:r>
        <w:r w:rsidR="00441EB1">
          <w:rPr>
            <w:noProof/>
            <w:webHidden/>
          </w:rPr>
          <w:fldChar w:fldCharType="begin"/>
        </w:r>
        <w:r w:rsidR="00441EB1">
          <w:rPr>
            <w:noProof/>
            <w:webHidden/>
          </w:rPr>
          <w:instrText xml:space="preserve"> PAGEREF _Toc535854423 \h </w:instrText>
        </w:r>
        <w:r w:rsidR="00441EB1">
          <w:rPr>
            <w:noProof/>
            <w:webHidden/>
          </w:rPr>
        </w:r>
        <w:r w:rsidR="00441EB1">
          <w:rPr>
            <w:noProof/>
            <w:webHidden/>
          </w:rPr>
          <w:fldChar w:fldCharType="separate"/>
        </w:r>
        <w:r w:rsidR="00441EB1">
          <w:rPr>
            <w:noProof/>
            <w:webHidden/>
          </w:rPr>
          <w:t>26</w:t>
        </w:r>
        <w:r w:rsidR="00441EB1">
          <w:rPr>
            <w:noProof/>
            <w:webHidden/>
          </w:rPr>
          <w:fldChar w:fldCharType="end"/>
        </w:r>
      </w:hyperlink>
    </w:p>
    <w:p w14:paraId="1373365F" w14:textId="71302D75" w:rsidR="00441EB1" w:rsidRDefault="00483705">
      <w:pPr>
        <w:pStyle w:val="Sommario3"/>
        <w:rPr>
          <w:rFonts w:asciiTheme="minorHAnsi" w:eastAsiaTheme="minorEastAsia" w:hAnsiTheme="minorHAnsi" w:cstheme="minorBidi"/>
          <w:i w:val="0"/>
          <w:iCs w:val="0"/>
          <w:sz w:val="22"/>
          <w:szCs w:val="22"/>
          <w:lang w:eastAsia="it-IT"/>
        </w:rPr>
      </w:pPr>
      <w:hyperlink w:anchor="_Toc535854424" w:history="1">
        <w:r w:rsidR="00441EB1" w:rsidRPr="00456345">
          <w:rPr>
            <w:rStyle w:val="Collegamentoipertestuale"/>
          </w:rPr>
          <w:t>9.1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Sistema Integrato dei Controlli Interni</w:t>
        </w:r>
        <w:r w:rsidR="00441EB1">
          <w:rPr>
            <w:webHidden/>
          </w:rPr>
          <w:tab/>
        </w:r>
        <w:r w:rsidR="00441EB1">
          <w:rPr>
            <w:webHidden/>
          </w:rPr>
          <w:fldChar w:fldCharType="begin"/>
        </w:r>
        <w:r w:rsidR="00441EB1">
          <w:rPr>
            <w:webHidden/>
          </w:rPr>
          <w:instrText xml:space="preserve"> PAGEREF _Toc535854424 \h </w:instrText>
        </w:r>
        <w:r w:rsidR="00441EB1">
          <w:rPr>
            <w:webHidden/>
          </w:rPr>
        </w:r>
        <w:r w:rsidR="00441EB1">
          <w:rPr>
            <w:webHidden/>
          </w:rPr>
          <w:fldChar w:fldCharType="separate"/>
        </w:r>
        <w:r w:rsidR="00441EB1">
          <w:rPr>
            <w:webHidden/>
          </w:rPr>
          <w:t>26</w:t>
        </w:r>
        <w:r w:rsidR="00441EB1">
          <w:rPr>
            <w:webHidden/>
          </w:rPr>
          <w:fldChar w:fldCharType="end"/>
        </w:r>
      </w:hyperlink>
    </w:p>
    <w:p w14:paraId="45F99B53" w14:textId="0DFEE58A" w:rsidR="00441EB1" w:rsidRDefault="00483705">
      <w:pPr>
        <w:pStyle w:val="Sommario3"/>
        <w:rPr>
          <w:rFonts w:asciiTheme="minorHAnsi" w:eastAsiaTheme="minorEastAsia" w:hAnsiTheme="minorHAnsi" w:cstheme="minorBidi"/>
          <w:i w:val="0"/>
          <w:iCs w:val="0"/>
          <w:sz w:val="22"/>
          <w:szCs w:val="22"/>
          <w:lang w:eastAsia="it-IT"/>
        </w:rPr>
      </w:pPr>
      <w:hyperlink w:anchor="_Toc535854425" w:history="1">
        <w:r w:rsidR="00441EB1" w:rsidRPr="00456345">
          <w:rPr>
            <w:rStyle w:val="Collegamentoipertestuale"/>
          </w:rPr>
          <w:t>9.2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Sistemi di Gestione e relativi Standard</w:t>
        </w:r>
        <w:r w:rsidR="00441EB1">
          <w:rPr>
            <w:webHidden/>
          </w:rPr>
          <w:tab/>
        </w:r>
        <w:r w:rsidR="00441EB1">
          <w:rPr>
            <w:webHidden/>
          </w:rPr>
          <w:fldChar w:fldCharType="begin"/>
        </w:r>
        <w:r w:rsidR="00441EB1">
          <w:rPr>
            <w:webHidden/>
          </w:rPr>
          <w:instrText xml:space="preserve"> PAGEREF _Toc535854425 \h </w:instrText>
        </w:r>
        <w:r w:rsidR="00441EB1">
          <w:rPr>
            <w:webHidden/>
          </w:rPr>
        </w:r>
        <w:r w:rsidR="00441EB1">
          <w:rPr>
            <w:webHidden/>
          </w:rPr>
          <w:fldChar w:fldCharType="separate"/>
        </w:r>
        <w:r w:rsidR="00441EB1">
          <w:rPr>
            <w:webHidden/>
          </w:rPr>
          <w:t>27</w:t>
        </w:r>
        <w:r w:rsidR="00441EB1">
          <w:rPr>
            <w:webHidden/>
          </w:rPr>
          <w:fldChar w:fldCharType="end"/>
        </w:r>
      </w:hyperlink>
    </w:p>
    <w:p w14:paraId="13C89D91" w14:textId="2A559470" w:rsidR="00441EB1" w:rsidRDefault="00483705">
      <w:pPr>
        <w:pStyle w:val="Sommario4"/>
        <w:rPr>
          <w:rFonts w:asciiTheme="minorHAnsi" w:eastAsiaTheme="minorEastAsia" w:hAnsiTheme="minorHAnsi" w:cstheme="minorBidi"/>
          <w:sz w:val="22"/>
          <w:szCs w:val="22"/>
        </w:rPr>
      </w:pPr>
      <w:hyperlink w:anchor="_Toc535854426" w:history="1">
        <w:r w:rsidR="00441EB1" w:rsidRPr="00456345">
          <w:rPr>
            <w:rStyle w:val="Collegamentoipertestuale"/>
            <w:b/>
          </w:rPr>
          <w:t>9.2.1</w:t>
        </w:r>
        <w:r w:rsidR="00441EB1">
          <w:rPr>
            <w:rFonts w:asciiTheme="minorHAnsi" w:eastAsiaTheme="minorEastAsia" w:hAnsiTheme="minorHAnsi" w:cstheme="minorBidi"/>
            <w:sz w:val="22"/>
            <w:szCs w:val="22"/>
          </w:rPr>
          <w:tab/>
        </w:r>
        <w:r w:rsidR="00441EB1" w:rsidRPr="00456345">
          <w:rPr>
            <w:rStyle w:val="Collegamentoipertestuale"/>
            <w:b/>
          </w:rPr>
          <w:t>Il nuovo modello di Gestione dei Rischi</w:t>
        </w:r>
        <w:r w:rsidR="00441EB1">
          <w:rPr>
            <w:webHidden/>
          </w:rPr>
          <w:tab/>
        </w:r>
        <w:r w:rsidR="00441EB1">
          <w:rPr>
            <w:webHidden/>
          </w:rPr>
          <w:fldChar w:fldCharType="begin"/>
        </w:r>
        <w:r w:rsidR="00441EB1">
          <w:rPr>
            <w:webHidden/>
          </w:rPr>
          <w:instrText xml:space="preserve"> PAGEREF _Toc535854426 \h </w:instrText>
        </w:r>
        <w:r w:rsidR="00441EB1">
          <w:rPr>
            <w:webHidden/>
          </w:rPr>
        </w:r>
        <w:r w:rsidR="00441EB1">
          <w:rPr>
            <w:webHidden/>
          </w:rPr>
          <w:fldChar w:fldCharType="separate"/>
        </w:r>
        <w:r w:rsidR="00441EB1">
          <w:rPr>
            <w:webHidden/>
          </w:rPr>
          <w:t>27</w:t>
        </w:r>
        <w:r w:rsidR="00441EB1">
          <w:rPr>
            <w:webHidden/>
          </w:rPr>
          <w:fldChar w:fldCharType="end"/>
        </w:r>
      </w:hyperlink>
    </w:p>
    <w:p w14:paraId="1251720F" w14:textId="4DD7F957" w:rsidR="00441EB1" w:rsidRDefault="00483705">
      <w:pPr>
        <w:pStyle w:val="Sommario4"/>
        <w:rPr>
          <w:rFonts w:asciiTheme="minorHAnsi" w:eastAsiaTheme="minorEastAsia" w:hAnsiTheme="minorHAnsi" w:cstheme="minorBidi"/>
          <w:sz w:val="22"/>
          <w:szCs w:val="22"/>
        </w:rPr>
      </w:pPr>
      <w:hyperlink w:anchor="_Toc535854427" w:history="1">
        <w:r w:rsidR="00441EB1" w:rsidRPr="00456345">
          <w:rPr>
            <w:rStyle w:val="Collegamentoipertestuale"/>
            <w:b/>
          </w:rPr>
          <w:t>9.2.2</w:t>
        </w:r>
        <w:r w:rsidR="00441EB1">
          <w:rPr>
            <w:rFonts w:asciiTheme="minorHAnsi" w:eastAsiaTheme="minorEastAsia" w:hAnsiTheme="minorHAnsi" w:cstheme="minorBidi"/>
            <w:sz w:val="22"/>
            <w:szCs w:val="22"/>
          </w:rPr>
          <w:tab/>
        </w:r>
        <w:r w:rsidR="00441EB1" w:rsidRPr="00456345">
          <w:rPr>
            <w:rStyle w:val="Collegamentoipertestuale"/>
            <w:b/>
          </w:rPr>
          <w:t>Il Sistema Integrato di Certificazioni</w:t>
        </w:r>
        <w:r w:rsidR="00441EB1">
          <w:rPr>
            <w:webHidden/>
          </w:rPr>
          <w:tab/>
        </w:r>
        <w:r w:rsidR="00441EB1">
          <w:rPr>
            <w:webHidden/>
          </w:rPr>
          <w:fldChar w:fldCharType="begin"/>
        </w:r>
        <w:r w:rsidR="00441EB1">
          <w:rPr>
            <w:webHidden/>
          </w:rPr>
          <w:instrText xml:space="preserve"> PAGEREF _Toc535854427 \h </w:instrText>
        </w:r>
        <w:r w:rsidR="00441EB1">
          <w:rPr>
            <w:webHidden/>
          </w:rPr>
        </w:r>
        <w:r w:rsidR="00441EB1">
          <w:rPr>
            <w:webHidden/>
          </w:rPr>
          <w:fldChar w:fldCharType="separate"/>
        </w:r>
        <w:r w:rsidR="00441EB1">
          <w:rPr>
            <w:webHidden/>
          </w:rPr>
          <w:t>27</w:t>
        </w:r>
        <w:r w:rsidR="00441EB1">
          <w:rPr>
            <w:webHidden/>
          </w:rPr>
          <w:fldChar w:fldCharType="end"/>
        </w:r>
      </w:hyperlink>
    </w:p>
    <w:p w14:paraId="59916DA2" w14:textId="087FC4DF" w:rsidR="00441EB1" w:rsidRDefault="00483705">
      <w:pPr>
        <w:pStyle w:val="Sommario1"/>
        <w:rPr>
          <w:rFonts w:asciiTheme="minorHAnsi" w:eastAsiaTheme="minorEastAsia" w:hAnsiTheme="minorHAnsi" w:cstheme="minorBidi"/>
          <w:bCs w:val="0"/>
          <w:caps w:val="0"/>
          <w:smallCaps w:val="0"/>
          <w:sz w:val="22"/>
          <w:szCs w:val="22"/>
          <w:lang w:eastAsia="it-IT"/>
        </w:rPr>
      </w:pPr>
      <w:hyperlink w:anchor="_Toc535854428" w:history="1">
        <w:r w:rsidR="00441EB1" w:rsidRPr="00456345">
          <w:rPr>
            <w:rStyle w:val="Collegamentoipertestuale"/>
          </w:rPr>
          <w:t>Prevenzione della Corruzione</w:t>
        </w:r>
        <w:r w:rsidR="00441EB1">
          <w:rPr>
            <w:webHidden/>
          </w:rPr>
          <w:tab/>
        </w:r>
        <w:r w:rsidR="00441EB1">
          <w:rPr>
            <w:webHidden/>
          </w:rPr>
          <w:fldChar w:fldCharType="begin"/>
        </w:r>
        <w:r w:rsidR="00441EB1">
          <w:rPr>
            <w:webHidden/>
          </w:rPr>
          <w:instrText xml:space="preserve"> PAGEREF _Toc535854428 \h </w:instrText>
        </w:r>
        <w:r w:rsidR="00441EB1">
          <w:rPr>
            <w:webHidden/>
          </w:rPr>
        </w:r>
        <w:r w:rsidR="00441EB1">
          <w:rPr>
            <w:webHidden/>
          </w:rPr>
          <w:fldChar w:fldCharType="separate"/>
        </w:r>
        <w:r w:rsidR="00441EB1">
          <w:rPr>
            <w:webHidden/>
          </w:rPr>
          <w:t>28</w:t>
        </w:r>
        <w:r w:rsidR="00441EB1">
          <w:rPr>
            <w:webHidden/>
          </w:rPr>
          <w:fldChar w:fldCharType="end"/>
        </w:r>
      </w:hyperlink>
    </w:p>
    <w:p w14:paraId="3B27C4EE" w14:textId="1BAB3361" w:rsidR="00441EB1" w:rsidRDefault="00483705">
      <w:pPr>
        <w:pStyle w:val="Sommario2"/>
        <w:rPr>
          <w:rFonts w:asciiTheme="minorHAnsi" w:eastAsiaTheme="minorEastAsia" w:hAnsiTheme="minorHAnsi" w:cstheme="minorBidi"/>
          <w:smallCaps w:val="0"/>
          <w:noProof/>
          <w:sz w:val="22"/>
          <w:szCs w:val="22"/>
          <w:lang w:eastAsia="it-IT"/>
        </w:rPr>
      </w:pPr>
      <w:hyperlink w:anchor="_Toc535854429" w:history="1">
        <w:r w:rsidR="00441EB1" w:rsidRPr="00456345">
          <w:rPr>
            <w:rStyle w:val="Collegamentoipertestuale"/>
            <w:noProof/>
          </w:rPr>
          <w:t>1.</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Gli obiettivi, i destinatari ed i soggetti che concorrono alla prevenzione della corruzione.</w:t>
        </w:r>
        <w:r w:rsidR="00441EB1">
          <w:rPr>
            <w:noProof/>
            <w:webHidden/>
          </w:rPr>
          <w:tab/>
        </w:r>
        <w:r w:rsidR="00441EB1">
          <w:rPr>
            <w:noProof/>
            <w:webHidden/>
          </w:rPr>
          <w:fldChar w:fldCharType="begin"/>
        </w:r>
        <w:r w:rsidR="00441EB1">
          <w:rPr>
            <w:noProof/>
            <w:webHidden/>
          </w:rPr>
          <w:instrText xml:space="preserve"> PAGEREF _Toc535854429 \h </w:instrText>
        </w:r>
        <w:r w:rsidR="00441EB1">
          <w:rPr>
            <w:noProof/>
            <w:webHidden/>
          </w:rPr>
        </w:r>
        <w:r w:rsidR="00441EB1">
          <w:rPr>
            <w:noProof/>
            <w:webHidden/>
          </w:rPr>
          <w:fldChar w:fldCharType="separate"/>
        </w:r>
        <w:r w:rsidR="00441EB1">
          <w:rPr>
            <w:noProof/>
            <w:webHidden/>
          </w:rPr>
          <w:t>29</w:t>
        </w:r>
        <w:r w:rsidR="00441EB1">
          <w:rPr>
            <w:noProof/>
            <w:webHidden/>
          </w:rPr>
          <w:fldChar w:fldCharType="end"/>
        </w:r>
      </w:hyperlink>
    </w:p>
    <w:p w14:paraId="7FBAB992" w14:textId="7AF75B44" w:rsidR="00441EB1" w:rsidRDefault="00483705">
      <w:pPr>
        <w:pStyle w:val="Sommario3"/>
        <w:rPr>
          <w:rFonts w:asciiTheme="minorHAnsi" w:eastAsiaTheme="minorEastAsia" w:hAnsiTheme="minorHAnsi" w:cstheme="minorBidi"/>
          <w:i w:val="0"/>
          <w:iCs w:val="0"/>
          <w:sz w:val="22"/>
          <w:szCs w:val="22"/>
          <w:lang w:eastAsia="it-IT"/>
        </w:rPr>
      </w:pPr>
      <w:hyperlink w:anchor="_Toc535854430" w:history="1">
        <w:r w:rsidR="00441EB1" w:rsidRPr="00456345">
          <w:rPr>
            <w:rStyle w:val="Collegamentoipertestuale"/>
          </w:rPr>
          <w:t>1.1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Gli obiettivi</w:t>
        </w:r>
        <w:r w:rsidR="00441EB1">
          <w:rPr>
            <w:webHidden/>
          </w:rPr>
          <w:tab/>
        </w:r>
        <w:r w:rsidR="00441EB1">
          <w:rPr>
            <w:webHidden/>
          </w:rPr>
          <w:fldChar w:fldCharType="begin"/>
        </w:r>
        <w:r w:rsidR="00441EB1">
          <w:rPr>
            <w:webHidden/>
          </w:rPr>
          <w:instrText xml:space="preserve"> PAGEREF _Toc535854430 \h </w:instrText>
        </w:r>
        <w:r w:rsidR="00441EB1">
          <w:rPr>
            <w:webHidden/>
          </w:rPr>
        </w:r>
        <w:r w:rsidR="00441EB1">
          <w:rPr>
            <w:webHidden/>
          </w:rPr>
          <w:fldChar w:fldCharType="separate"/>
        </w:r>
        <w:r w:rsidR="00441EB1">
          <w:rPr>
            <w:webHidden/>
          </w:rPr>
          <w:t>29</w:t>
        </w:r>
        <w:r w:rsidR="00441EB1">
          <w:rPr>
            <w:webHidden/>
          </w:rPr>
          <w:fldChar w:fldCharType="end"/>
        </w:r>
      </w:hyperlink>
    </w:p>
    <w:p w14:paraId="396E1172" w14:textId="39A36F03" w:rsidR="00441EB1" w:rsidRDefault="00483705">
      <w:pPr>
        <w:pStyle w:val="Sommario3"/>
        <w:rPr>
          <w:rFonts w:asciiTheme="minorHAnsi" w:eastAsiaTheme="minorEastAsia" w:hAnsiTheme="minorHAnsi" w:cstheme="minorBidi"/>
          <w:i w:val="0"/>
          <w:iCs w:val="0"/>
          <w:sz w:val="22"/>
          <w:szCs w:val="22"/>
          <w:lang w:eastAsia="it-IT"/>
        </w:rPr>
      </w:pPr>
      <w:hyperlink w:anchor="_Toc535854431" w:history="1">
        <w:r w:rsidR="00441EB1" w:rsidRPr="00456345">
          <w:rPr>
            <w:rStyle w:val="Collegamentoipertestuale"/>
          </w:rPr>
          <w:t>1.2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destinatari</w:t>
        </w:r>
        <w:r w:rsidR="00441EB1">
          <w:rPr>
            <w:webHidden/>
          </w:rPr>
          <w:tab/>
        </w:r>
        <w:r w:rsidR="00441EB1">
          <w:rPr>
            <w:webHidden/>
          </w:rPr>
          <w:fldChar w:fldCharType="begin"/>
        </w:r>
        <w:r w:rsidR="00441EB1">
          <w:rPr>
            <w:webHidden/>
          </w:rPr>
          <w:instrText xml:space="preserve"> PAGEREF _Toc535854431 \h </w:instrText>
        </w:r>
        <w:r w:rsidR="00441EB1">
          <w:rPr>
            <w:webHidden/>
          </w:rPr>
        </w:r>
        <w:r w:rsidR="00441EB1">
          <w:rPr>
            <w:webHidden/>
          </w:rPr>
          <w:fldChar w:fldCharType="separate"/>
        </w:r>
        <w:r w:rsidR="00441EB1">
          <w:rPr>
            <w:webHidden/>
          </w:rPr>
          <w:t>29</w:t>
        </w:r>
        <w:r w:rsidR="00441EB1">
          <w:rPr>
            <w:webHidden/>
          </w:rPr>
          <w:fldChar w:fldCharType="end"/>
        </w:r>
      </w:hyperlink>
    </w:p>
    <w:p w14:paraId="4EA0228C" w14:textId="2930A5BF" w:rsidR="00441EB1" w:rsidRDefault="00483705">
      <w:pPr>
        <w:pStyle w:val="Sommario3"/>
        <w:rPr>
          <w:rFonts w:asciiTheme="minorHAnsi" w:eastAsiaTheme="minorEastAsia" w:hAnsiTheme="minorHAnsi" w:cstheme="minorBidi"/>
          <w:i w:val="0"/>
          <w:iCs w:val="0"/>
          <w:sz w:val="22"/>
          <w:szCs w:val="22"/>
          <w:lang w:eastAsia="it-IT"/>
        </w:rPr>
      </w:pPr>
      <w:hyperlink w:anchor="_Toc535854432" w:history="1">
        <w:r w:rsidR="00441EB1" w:rsidRPr="00456345">
          <w:rPr>
            <w:rStyle w:val="Collegamentoipertestuale"/>
          </w:rPr>
          <w:t>1.3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soggetti che concorrono alla prevenzione della corruzione</w:t>
        </w:r>
        <w:r w:rsidR="00441EB1">
          <w:rPr>
            <w:webHidden/>
          </w:rPr>
          <w:tab/>
        </w:r>
        <w:r w:rsidR="00441EB1">
          <w:rPr>
            <w:webHidden/>
          </w:rPr>
          <w:fldChar w:fldCharType="begin"/>
        </w:r>
        <w:r w:rsidR="00441EB1">
          <w:rPr>
            <w:webHidden/>
          </w:rPr>
          <w:instrText xml:space="preserve"> PAGEREF _Toc535854432 \h </w:instrText>
        </w:r>
        <w:r w:rsidR="00441EB1">
          <w:rPr>
            <w:webHidden/>
          </w:rPr>
        </w:r>
        <w:r w:rsidR="00441EB1">
          <w:rPr>
            <w:webHidden/>
          </w:rPr>
          <w:fldChar w:fldCharType="separate"/>
        </w:r>
        <w:r w:rsidR="00441EB1">
          <w:rPr>
            <w:webHidden/>
          </w:rPr>
          <w:t>29</w:t>
        </w:r>
        <w:r w:rsidR="00441EB1">
          <w:rPr>
            <w:webHidden/>
          </w:rPr>
          <w:fldChar w:fldCharType="end"/>
        </w:r>
      </w:hyperlink>
    </w:p>
    <w:p w14:paraId="705A306B" w14:textId="00A5F426" w:rsidR="00441EB1" w:rsidRDefault="00483705">
      <w:pPr>
        <w:pStyle w:val="Sommario4"/>
        <w:rPr>
          <w:rFonts w:asciiTheme="minorHAnsi" w:eastAsiaTheme="minorEastAsia" w:hAnsiTheme="minorHAnsi" w:cstheme="minorBidi"/>
          <w:sz w:val="22"/>
          <w:szCs w:val="22"/>
        </w:rPr>
      </w:pPr>
      <w:hyperlink w:anchor="_Toc535854433" w:history="1">
        <w:r w:rsidR="00441EB1" w:rsidRPr="00456345">
          <w:rPr>
            <w:rStyle w:val="Collegamentoipertestuale"/>
            <w:b/>
          </w:rPr>
          <w:t xml:space="preserve">1.3.1. </w:t>
        </w:r>
        <w:r w:rsidR="00441EB1">
          <w:rPr>
            <w:rFonts w:asciiTheme="minorHAnsi" w:eastAsiaTheme="minorEastAsia" w:hAnsiTheme="minorHAnsi" w:cstheme="minorBidi"/>
            <w:sz w:val="22"/>
            <w:szCs w:val="22"/>
          </w:rPr>
          <w:tab/>
        </w:r>
        <w:r w:rsidR="00441EB1" w:rsidRPr="00456345">
          <w:rPr>
            <w:rStyle w:val="Collegamentoipertestuale"/>
            <w:b/>
          </w:rPr>
          <w:t>Il Consiglio di Amministrazione</w:t>
        </w:r>
        <w:r w:rsidR="00441EB1">
          <w:rPr>
            <w:webHidden/>
          </w:rPr>
          <w:tab/>
        </w:r>
        <w:r w:rsidR="00441EB1">
          <w:rPr>
            <w:webHidden/>
          </w:rPr>
          <w:fldChar w:fldCharType="begin"/>
        </w:r>
        <w:r w:rsidR="00441EB1">
          <w:rPr>
            <w:webHidden/>
          </w:rPr>
          <w:instrText xml:space="preserve"> PAGEREF _Toc535854433 \h </w:instrText>
        </w:r>
        <w:r w:rsidR="00441EB1">
          <w:rPr>
            <w:webHidden/>
          </w:rPr>
        </w:r>
        <w:r w:rsidR="00441EB1">
          <w:rPr>
            <w:webHidden/>
          </w:rPr>
          <w:fldChar w:fldCharType="separate"/>
        </w:r>
        <w:r w:rsidR="00441EB1">
          <w:rPr>
            <w:webHidden/>
          </w:rPr>
          <w:t>29</w:t>
        </w:r>
        <w:r w:rsidR="00441EB1">
          <w:rPr>
            <w:webHidden/>
          </w:rPr>
          <w:fldChar w:fldCharType="end"/>
        </w:r>
      </w:hyperlink>
    </w:p>
    <w:p w14:paraId="4F0077B9" w14:textId="4642B14C" w:rsidR="00441EB1" w:rsidRDefault="00483705">
      <w:pPr>
        <w:pStyle w:val="Sommario4"/>
        <w:rPr>
          <w:rFonts w:asciiTheme="minorHAnsi" w:eastAsiaTheme="minorEastAsia" w:hAnsiTheme="minorHAnsi" w:cstheme="minorBidi"/>
          <w:sz w:val="22"/>
          <w:szCs w:val="22"/>
        </w:rPr>
      </w:pPr>
      <w:hyperlink w:anchor="_Toc535854434" w:history="1">
        <w:r w:rsidR="00441EB1" w:rsidRPr="00456345">
          <w:rPr>
            <w:rStyle w:val="Collegamentoipertestuale"/>
            <w:b/>
          </w:rPr>
          <w:t>1.3.2.</w:t>
        </w:r>
        <w:r w:rsidR="00441EB1" w:rsidRPr="00456345">
          <w:rPr>
            <w:rStyle w:val="Collegamentoipertestuale"/>
          </w:rPr>
          <w:t xml:space="preserve"> </w:t>
        </w:r>
        <w:r w:rsidR="00441EB1">
          <w:rPr>
            <w:rFonts w:asciiTheme="minorHAnsi" w:eastAsiaTheme="minorEastAsia" w:hAnsiTheme="minorHAnsi" w:cstheme="minorBidi"/>
            <w:sz w:val="22"/>
            <w:szCs w:val="22"/>
          </w:rPr>
          <w:tab/>
        </w:r>
        <w:r w:rsidR="00441EB1" w:rsidRPr="00456345">
          <w:rPr>
            <w:rStyle w:val="Collegamentoipertestuale"/>
            <w:b/>
          </w:rPr>
          <w:t>Il Responsabile della prevenzione della Corruzione e della Trasparenza</w:t>
        </w:r>
        <w:r w:rsidR="00441EB1">
          <w:rPr>
            <w:webHidden/>
          </w:rPr>
          <w:tab/>
        </w:r>
        <w:r w:rsidR="00441EB1">
          <w:rPr>
            <w:webHidden/>
          </w:rPr>
          <w:fldChar w:fldCharType="begin"/>
        </w:r>
        <w:r w:rsidR="00441EB1">
          <w:rPr>
            <w:webHidden/>
          </w:rPr>
          <w:instrText xml:space="preserve"> PAGEREF _Toc535854434 \h </w:instrText>
        </w:r>
        <w:r w:rsidR="00441EB1">
          <w:rPr>
            <w:webHidden/>
          </w:rPr>
        </w:r>
        <w:r w:rsidR="00441EB1">
          <w:rPr>
            <w:webHidden/>
          </w:rPr>
          <w:fldChar w:fldCharType="separate"/>
        </w:r>
        <w:r w:rsidR="00441EB1">
          <w:rPr>
            <w:webHidden/>
          </w:rPr>
          <w:t>30</w:t>
        </w:r>
        <w:r w:rsidR="00441EB1">
          <w:rPr>
            <w:webHidden/>
          </w:rPr>
          <w:fldChar w:fldCharType="end"/>
        </w:r>
      </w:hyperlink>
    </w:p>
    <w:p w14:paraId="5FFDE1FA" w14:textId="3586C73F" w:rsidR="00441EB1" w:rsidRDefault="00483705">
      <w:pPr>
        <w:pStyle w:val="Sommario4"/>
        <w:rPr>
          <w:rFonts w:asciiTheme="minorHAnsi" w:eastAsiaTheme="minorEastAsia" w:hAnsiTheme="minorHAnsi" w:cstheme="minorBidi"/>
          <w:sz w:val="22"/>
          <w:szCs w:val="22"/>
        </w:rPr>
      </w:pPr>
      <w:hyperlink w:anchor="_Toc535854435" w:history="1">
        <w:r w:rsidR="00441EB1" w:rsidRPr="00456345">
          <w:rPr>
            <w:rStyle w:val="Collegamentoipertestuale"/>
            <w:b/>
          </w:rPr>
          <w:t xml:space="preserve">1.3.3. </w:t>
        </w:r>
        <w:r w:rsidR="00441EB1">
          <w:rPr>
            <w:rFonts w:asciiTheme="minorHAnsi" w:eastAsiaTheme="minorEastAsia" w:hAnsiTheme="minorHAnsi" w:cstheme="minorBidi"/>
            <w:sz w:val="22"/>
            <w:szCs w:val="22"/>
          </w:rPr>
          <w:tab/>
        </w:r>
        <w:r w:rsidR="00441EB1" w:rsidRPr="00456345">
          <w:rPr>
            <w:rStyle w:val="Collegamentoipertestuale"/>
            <w:b/>
          </w:rPr>
          <w:t>Il Gruppo permanente di lavoro per il PTPCT</w:t>
        </w:r>
        <w:r w:rsidR="00441EB1">
          <w:rPr>
            <w:webHidden/>
          </w:rPr>
          <w:tab/>
        </w:r>
        <w:r w:rsidR="00441EB1">
          <w:rPr>
            <w:webHidden/>
          </w:rPr>
          <w:fldChar w:fldCharType="begin"/>
        </w:r>
        <w:r w:rsidR="00441EB1">
          <w:rPr>
            <w:webHidden/>
          </w:rPr>
          <w:instrText xml:space="preserve"> PAGEREF _Toc535854435 \h </w:instrText>
        </w:r>
        <w:r w:rsidR="00441EB1">
          <w:rPr>
            <w:webHidden/>
          </w:rPr>
        </w:r>
        <w:r w:rsidR="00441EB1">
          <w:rPr>
            <w:webHidden/>
          </w:rPr>
          <w:fldChar w:fldCharType="separate"/>
        </w:r>
        <w:r w:rsidR="00441EB1">
          <w:rPr>
            <w:webHidden/>
          </w:rPr>
          <w:t>35</w:t>
        </w:r>
        <w:r w:rsidR="00441EB1">
          <w:rPr>
            <w:webHidden/>
          </w:rPr>
          <w:fldChar w:fldCharType="end"/>
        </w:r>
      </w:hyperlink>
    </w:p>
    <w:p w14:paraId="29D311A2" w14:textId="31C55AAB" w:rsidR="00441EB1" w:rsidRDefault="00483705">
      <w:pPr>
        <w:pStyle w:val="Sommario4"/>
        <w:rPr>
          <w:rFonts w:asciiTheme="minorHAnsi" w:eastAsiaTheme="minorEastAsia" w:hAnsiTheme="minorHAnsi" w:cstheme="minorBidi"/>
          <w:sz w:val="22"/>
          <w:szCs w:val="22"/>
        </w:rPr>
      </w:pPr>
      <w:hyperlink w:anchor="_Toc535854436" w:history="1">
        <w:r w:rsidR="00441EB1" w:rsidRPr="00456345">
          <w:rPr>
            <w:rStyle w:val="Collegamentoipertestuale"/>
            <w:b/>
          </w:rPr>
          <w:t xml:space="preserve">1.3.4. </w:t>
        </w:r>
        <w:r w:rsidR="00441EB1">
          <w:rPr>
            <w:rFonts w:asciiTheme="minorHAnsi" w:eastAsiaTheme="minorEastAsia" w:hAnsiTheme="minorHAnsi" w:cstheme="minorBidi"/>
            <w:sz w:val="22"/>
            <w:szCs w:val="22"/>
          </w:rPr>
          <w:tab/>
        </w:r>
        <w:r w:rsidR="00441EB1" w:rsidRPr="00456345">
          <w:rPr>
            <w:rStyle w:val="Collegamentoipertestuale"/>
            <w:b/>
          </w:rPr>
          <w:t xml:space="preserve">Il Direttore, i Responsabili di </w:t>
        </w:r>
        <w:r w:rsidR="00C34ADE">
          <w:rPr>
            <w:rStyle w:val="Collegamentoipertestuale"/>
            <w:b/>
          </w:rPr>
          <w:t>Settore</w:t>
        </w:r>
        <w:r w:rsidR="00441EB1" w:rsidRPr="00456345">
          <w:rPr>
            <w:rStyle w:val="Collegamentoipertestuale"/>
            <w:b/>
          </w:rPr>
          <w:t xml:space="preserve"> o di Ufficio, i Responsabili ed i Coordinatori di funzione o di servizio/progetto</w:t>
        </w:r>
        <w:r w:rsidR="00441EB1">
          <w:rPr>
            <w:webHidden/>
          </w:rPr>
          <w:tab/>
        </w:r>
        <w:r w:rsidR="00441EB1">
          <w:rPr>
            <w:webHidden/>
          </w:rPr>
          <w:fldChar w:fldCharType="begin"/>
        </w:r>
        <w:r w:rsidR="00441EB1">
          <w:rPr>
            <w:webHidden/>
          </w:rPr>
          <w:instrText xml:space="preserve"> PAGEREF _Toc535854436 \h </w:instrText>
        </w:r>
        <w:r w:rsidR="00441EB1">
          <w:rPr>
            <w:webHidden/>
          </w:rPr>
        </w:r>
        <w:r w:rsidR="00441EB1">
          <w:rPr>
            <w:webHidden/>
          </w:rPr>
          <w:fldChar w:fldCharType="separate"/>
        </w:r>
        <w:r w:rsidR="00441EB1">
          <w:rPr>
            <w:webHidden/>
          </w:rPr>
          <w:t>36</w:t>
        </w:r>
        <w:r w:rsidR="00441EB1">
          <w:rPr>
            <w:webHidden/>
          </w:rPr>
          <w:fldChar w:fldCharType="end"/>
        </w:r>
      </w:hyperlink>
    </w:p>
    <w:p w14:paraId="21583737" w14:textId="7A048A5E" w:rsidR="00441EB1" w:rsidRDefault="00483705">
      <w:pPr>
        <w:pStyle w:val="Sommario4"/>
        <w:rPr>
          <w:rFonts w:asciiTheme="minorHAnsi" w:eastAsiaTheme="minorEastAsia" w:hAnsiTheme="minorHAnsi" w:cstheme="minorBidi"/>
          <w:sz w:val="22"/>
          <w:szCs w:val="22"/>
        </w:rPr>
      </w:pPr>
      <w:hyperlink w:anchor="_Toc535854437" w:history="1">
        <w:r w:rsidR="00441EB1" w:rsidRPr="00456345">
          <w:rPr>
            <w:rStyle w:val="Collegamentoipertestuale"/>
            <w:b/>
          </w:rPr>
          <w:t xml:space="preserve">1.3.5. </w:t>
        </w:r>
        <w:r w:rsidR="00441EB1">
          <w:rPr>
            <w:rFonts w:asciiTheme="minorHAnsi" w:eastAsiaTheme="minorEastAsia" w:hAnsiTheme="minorHAnsi" w:cstheme="minorBidi"/>
            <w:sz w:val="22"/>
            <w:szCs w:val="22"/>
          </w:rPr>
          <w:tab/>
        </w:r>
        <w:r w:rsidR="00441EB1" w:rsidRPr="00456345">
          <w:rPr>
            <w:rStyle w:val="Collegamentoipertestuale"/>
            <w:b/>
          </w:rPr>
          <w:t>I dipendenti</w:t>
        </w:r>
        <w:r w:rsidR="00441EB1">
          <w:rPr>
            <w:webHidden/>
          </w:rPr>
          <w:tab/>
        </w:r>
        <w:r w:rsidR="00441EB1">
          <w:rPr>
            <w:webHidden/>
          </w:rPr>
          <w:fldChar w:fldCharType="begin"/>
        </w:r>
        <w:r w:rsidR="00441EB1">
          <w:rPr>
            <w:webHidden/>
          </w:rPr>
          <w:instrText xml:space="preserve"> PAGEREF _Toc535854437 \h </w:instrText>
        </w:r>
        <w:r w:rsidR="00441EB1">
          <w:rPr>
            <w:webHidden/>
          </w:rPr>
        </w:r>
        <w:r w:rsidR="00441EB1">
          <w:rPr>
            <w:webHidden/>
          </w:rPr>
          <w:fldChar w:fldCharType="separate"/>
        </w:r>
        <w:r w:rsidR="00441EB1">
          <w:rPr>
            <w:webHidden/>
          </w:rPr>
          <w:t>36</w:t>
        </w:r>
        <w:r w:rsidR="00441EB1">
          <w:rPr>
            <w:webHidden/>
          </w:rPr>
          <w:fldChar w:fldCharType="end"/>
        </w:r>
      </w:hyperlink>
    </w:p>
    <w:p w14:paraId="504AF7C5" w14:textId="3B78C1B1" w:rsidR="00441EB1" w:rsidRDefault="00483705">
      <w:pPr>
        <w:pStyle w:val="Sommario2"/>
        <w:rPr>
          <w:rFonts w:asciiTheme="minorHAnsi" w:eastAsiaTheme="minorEastAsia" w:hAnsiTheme="minorHAnsi" w:cstheme="minorBidi"/>
          <w:smallCaps w:val="0"/>
          <w:noProof/>
          <w:sz w:val="22"/>
          <w:szCs w:val="22"/>
          <w:lang w:eastAsia="it-IT"/>
        </w:rPr>
      </w:pPr>
      <w:hyperlink w:anchor="_Toc535854438" w:history="1">
        <w:r w:rsidR="00441EB1" w:rsidRPr="00456345">
          <w:rPr>
            <w:rStyle w:val="Collegamentoipertestuale"/>
            <w:noProof/>
          </w:rPr>
          <w:t>2.</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 elencazione dei reati</w:t>
        </w:r>
        <w:r w:rsidR="00441EB1">
          <w:rPr>
            <w:noProof/>
            <w:webHidden/>
          </w:rPr>
          <w:tab/>
        </w:r>
        <w:r w:rsidR="00441EB1">
          <w:rPr>
            <w:noProof/>
            <w:webHidden/>
          </w:rPr>
          <w:fldChar w:fldCharType="begin"/>
        </w:r>
        <w:r w:rsidR="00441EB1">
          <w:rPr>
            <w:noProof/>
            <w:webHidden/>
          </w:rPr>
          <w:instrText xml:space="preserve"> PAGEREF _Toc535854438 \h </w:instrText>
        </w:r>
        <w:r w:rsidR="00441EB1">
          <w:rPr>
            <w:noProof/>
            <w:webHidden/>
          </w:rPr>
        </w:r>
        <w:r w:rsidR="00441EB1">
          <w:rPr>
            <w:noProof/>
            <w:webHidden/>
          </w:rPr>
          <w:fldChar w:fldCharType="separate"/>
        </w:r>
        <w:r w:rsidR="00441EB1">
          <w:rPr>
            <w:noProof/>
            <w:webHidden/>
          </w:rPr>
          <w:t>36</w:t>
        </w:r>
        <w:r w:rsidR="00441EB1">
          <w:rPr>
            <w:noProof/>
            <w:webHidden/>
          </w:rPr>
          <w:fldChar w:fldCharType="end"/>
        </w:r>
      </w:hyperlink>
    </w:p>
    <w:p w14:paraId="671022A5" w14:textId="7B7E19E0" w:rsidR="00441EB1" w:rsidRDefault="00483705">
      <w:pPr>
        <w:pStyle w:val="Sommario2"/>
        <w:rPr>
          <w:rFonts w:asciiTheme="minorHAnsi" w:eastAsiaTheme="minorEastAsia" w:hAnsiTheme="minorHAnsi" w:cstheme="minorBidi"/>
          <w:smallCaps w:val="0"/>
          <w:noProof/>
          <w:sz w:val="22"/>
          <w:szCs w:val="22"/>
          <w:lang w:eastAsia="it-IT"/>
        </w:rPr>
      </w:pPr>
      <w:hyperlink w:anchor="_Toc535854439" w:history="1">
        <w:r w:rsidR="00441EB1" w:rsidRPr="00456345">
          <w:rPr>
            <w:rStyle w:val="Collegamentoipertestuale"/>
            <w:noProof/>
          </w:rPr>
          <w:t>3.</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codice etico e di comportamento</w:t>
        </w:r>
        <w:r w:rsidR="00441EB1">
          <w:rPr>
            <w:noProof/>
            <w:webHidden/>
          </w:rPr>
          <w:tab/>
        </w:r>
        <w:r w:rsidR="00441EB1">
          <w:rPr>
            <w:noProof/>
            <w:webHidden/>
          </w:rPr>
          <w:fldChar w:fldCharType="begin"/>
        </w:r>
        <w:r w:rsidR="00441EB1">
          <w:rPr>
            <w:noProof/>
            <w:webHidden/>
          </w:rPr>
          <w:instrText xml:space="preserve"> PAGEREF _Toc535854439 \h </w:instrText>
        </w:r>
        <w:r w:rsidR="00441EB1">
          <w:rPr>
            <w:noProof/>
            <w:webHidden/>
          </w:rPr>
        </w:r>
        <w:r w:rsidR="00441EB1">
          <w:rPr>
            <w:noProof/>
            <w:webHidden/>
          </w:rPr>
          <w:fldChar w:fldCharType="separate"/>
        </w:r>
        <w:r w:rsidR="00441EB1">
          <w:rPr>
            <w:noProof/>
            <w:webHidden/>
          </w:rPr>
          <w:t>38</w:t>
        </w:r>
        <w:r w:rsidR="00441EB1">
          <w:rPr>
            <w:noProof/>
            <w:webHidden/>
          </w:rPr>
          <w:fldChar w:fldCharType="end"/>
        </w:r>
      </w:hyperlink>
    </w:p>
    <w:p w14:paraId="710E0B39" w14:textId="4A8D5608" w:rsidR="00441EB1" w:rsidRDefault="00483705">
      <w:pPr>
        <w:pStyle w:val="Sommario2"/>
        <w:rPr>
          <w:rFonts w:asciiTheme="minorHAnsi" w:eastAsiaTheme="minorEastAsia" w:hAnsiTheme="minorHAnsi" w:cstheme="minorBidi"/>
          <w:smallCaps w:val="0"/>
          <w:noProof/>
          <w:sz w:val="22"/>
          <w:szCs w:val="22"/>
          <w:lang w:eastAsia="it-IT"/>
        </w:rPr>
      </w:pPr>
      <w:hyperlink w:anchor="_Toc535854440" w:history="1">
        <w:r w:rsidR="00441EB1" w:rsidRPr="00456345">
          <w:rPr>
            <w:rStyle w:val="Collegamentoipertestuale"/>
            <w:noProof/>
          </w:rPr>
          <w:t>4.</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Whistleblowing</w:t>
        </w:r>
        <w:r w:rsidR="00441EB1">
          <w:rPr>
            <w:noProof/>
            <w:webHidden/>
          </w:rPr>
          <w:tab/>
        </w:r>
        <w:r w:rsidR="00441EB1">
          <w:rPr>
            <w:noProof/>
            <w:webHidden/>
          </w:rPr>
          <w:fldChar w:fldCharType="begin"/>
        </w:r>
        <w:r w:rsidR="00441EB1">
          <w:rPr>
            <w:noProof/>
            <w:webHidden/>
          </w:rPr>
          <w:instrText xml:space="preserve"> PAGEREF _Toc535854440 \h </w:instrText>
        </w:r>
        <w:r w:rsidR="00441EB1">
          <w:rPr>
            <w:noProof/>
            <w:webHidden/>
          </w:rPr>
        </w:r>
        <w:r w:rsidR="00441EB1">
          <w:rPr>
            <w:noProof/>
            <w:webHidden/>
          </w:rPr>
          <w:fldChar w:fldCharType="separate"/>
        </w:r>
        <w:r w:rsidR="00441EB1">
          <w:rPr>
            <w:noProof/>
            <w:webHidden/>
          </w:rPr>
          <w:t>39</w:t>
        </w:r>
        <w:r w:rsidR="00441EB1">
          <w:rPr>
            <w:noProof/>
            <w:webHidden/>
          </w:rPr>
          <w:fldChar w:fldCharType="end"/>
        </w:r>
      </w:hyperlink>
    </w:p>
    <w:p w14:paraId="42D19081" w14:textId="53A5EBD5" w:rsidR="00441EB1" w:rsidRDefault="00483705">
      <w:pPr>
        <w:pStyle w:val="Sommario3"/>
        <w:rPr>
          <w:rFonts w:asciiTheme="minorHAnsi" w:eastAsiaTheme="minorEastAsia" w:hAnsiTheme="minorHAnsi" w:cstheme="minorBidi"/>
          <w:i w:val="0"/>
          <w:iCs w:val="0"/>
          <w:sz w:val="22"/>
          <w:szCs w:val="22"/>
          <w:lang w:eastAsia="it-IT"/>
        </w:rPr>
      </w:pPr>
      <w:hyperlink w:anchor="_Toc535854441" w:history="1">
        <w:r w:rsidR="00441EB1" w:rsidRPr="00456345">
          <w:rPr>
            <w:rStyle w:val="Collegamentoipertestuale"/>
          </w:rPr>
          <w:t>4.1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fasi della procedura</w:t>
        </w:r>
        <w:r w:rsidR="00441EB1">
          <w:rPr>
            <w:webHidden/>
          </w:rPr>
          <w:tab/>
        </w:r>
        <w:r w:rsidR="00441EB1">
          <w:rPr>
            <w:webHidden/>
          </w:rPr>
          <w:fldChar w:fldCharType="begin"/>
        </w:r>
        <w:r w:rsidR="00441EB1">
          <w:rPr>
            <w:webHidden/>
          </w:rPr>
          <w:instrText xml:space="preserve"> PAGEREF _Toc535854441 \h </w:instrText>
        </w:r>
        <w:r w:rsidR="00441EB1">
          <w:rPr>
            <w:webHidden/>
          </w:rPr>
        </w:r>
        <w:r w:rsidR="00441EB1">
          <w:rPr>
            <w:webHidden/>
          </w:rPr>
          <w:fldChar w:fldCharType="separate"/>
        </w:r>
        <w:r w:rsidR="00441EB1">
          <w:rPr>
            <w:webHidden/>
          </w:rPr>
          <w:t>40</w:t>
        </w:r>
        <w:r w:rsidR="00441EB1">
          <w:rPr>
            <w:webHidden/>
          </w:rPr>
          <w:fldChar w:fldCharType="end"/>
        </w:r>
      </w:hyperlink>
    </w:p>
    <w:p w14:paraId="7CA17602" w14:textId="26E37CDB" w:rsidR="00441EB1" w:rsidRDefault="00483705">
      <w:pPr>
        <w:pStyle w:val="Sommario2"/>
        <w:rPr>
          <w:rFonts w:asciiTheme="minorHAnsi" w:eastAsiaTheme="minorEastAsia" w:hAnsiTheme="minorHAnsi" w:cstheme="minorBidi"/>
          <w:smallCaps w:val="0"/>
          <w:noProof/>
          <w:sz w:val="22"/>
          <w:szCs w:val="22"/>
          <w:lang w:eastAsia="it-IT"/>
        </w:rPr>
      </w:pPr>
      <w:hyperlink w:anchor="_Toc535854442" w:history="1">
        <w:r w:rsidR="00441EB1" w:rsidRPr="00456345">
          <w:rPr>
            <w:rStyle w:val="Collegamentoipertestuale"/>
            <w:noProof/>
          </w:rPr>
          <w:t>5.</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sistema delle sanzioni</w:t>
        </w:r>
        <w:r w:rsidR="00441EB1">
          <w:rPr>
            <w:noProof/>
            <w:webHidden/>
          </w:rPr>
          <w:tab/>
        </w:r>
        <w:r w:rsidR="00441EB1">
          <w:rPr>
            <w:noProof/>
            <w:webHidden/>
          </w:rPr>
          <w:fldChar w:fldCharType="begin"/>
        </w:r>
        <w:r w:rsidR="00441EB1">
          <w:rPr>
            <w:noProof/>
            <w:webHidden/>
          </w:rPr>
          <w:instrText xml:space="preserve"> PAGEREF _Toc535854442 \h </w:instrText>
        </w:r>
        <w:r w:rsidR="00441EB1">
          <w:rPr>
            <w:noProof/>
            <w:webHidden/>
          </w:rPr>
        </w:r>
        <w:r w:rsidR="00441EB1">
          <w:rPr>
            <w:noProof/>
            <w:webHidden/>
          </w:rPr>
          <w:fldChar w:fldCharType="separate"/>
        </w:r>
        <w:r w:rsidR="00441EB1">
          <w:rPr>
            <w:noProof/>
            <w:webHidden/>
          </w:rPr>
          <w:t>41</w:t>
        </w:r>
        <w:r w:rsidR="00441EB1">
          <w:rPr>
            <w:noProof/>
            <w:webHidden/>
          </w:rPr>
          <w:fldChar w:fldCharType="end"/>
        </w:r>
      </w:hyperlink>
    </w:p>
    <w:p w14:paraId="59392010" w14:textId="125FEDEE" w:rsidR="00441EB1" w:rsidRDefault="00483705">
      <w:pPr>
        <w:pStyle w:val="Sommario2"/>
        <w:rPr>
          <w:rFonts w:asciiTheme="minorHAnsi" w:eastAsiaTheme="minorEastAsia" w:hAnsiTheme="minorHAnsi" w:cstheme="minorBidi"/>
          <w:smallCaps w:val="0"/>
          <w:noProof/>
          <w:sz w:val="22"/>
          <w:szCs w:val="22"/>
          <w:lang w:eastAsia="it-IT"/>
        </w:rPr>
      </w:pPr>
      <w:hyperlink w:anchor="_Toc535854443" w:history="1">
        <w:r w:rsidR="00441EB1" w:rsidRPr="00456345">
          <w:rPr>
            <w:rStyle w:val="Collegamentoipertestuale"/>
            <w:noProof/>
          </w:rPr>
          <w:t>6.</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 formazione e la comunicazione</w:t>
        </w:r>
        <w:r w:rsidR="00441EB1">
          <w:rPr>
            <w:noProof/>
            <w:webHidden/>
          </w:rPr>
          <w:tab/>
        </w:r>
        <w:r w:rsidR="00441EB1">
          <w:rPr>
            <w:noProof/>
            <w:webHidden/>
          </w:rPr>
          <w:fldChar w:fldCharType="begin"/>
        </w:r>
        <w:r w:rsidR="00441EB1">
          <w:rPr>
            <w:noProof/>
            <w:webHidden/>
          </w:rPr>
          <w:instrText xml:space="preserve"> PAGEREF _Toc535854443 \h </w:instrText>
        </w:r>
        <w:r w:rsidR="00441EB1">
          <w:rPr>
            <w:noProof/>
            <w:webHidden/>
          </w:rPr>
        </w:r>
        <w:r w:rsidR="00441EB1">
          <w:rPr>
            <w:noProof/>
            <w:webHidden/>
          </w:rPr>
          <w:fldChar w:fldCharType="separate"/>
        </w:r>
        <w:r w:rsidR="00441EB1">
          <w:rPr>
            <w:noProof/>
            <w:webHidden/>
          </w:rPr>
          <w:t>42</w:t>
        </w:r>
        <w:r w:rsidR="00441EB1">
          <w:rPr>
            <w:noProof/>
            <w:webHidden/>
          </w:rPr>
          <w:fldChar w:fldCharType="end"/>
        </w:r>
      </w:hyperlink>
    </w:p>
    <w:p w14:paraId="7F8FF108" w14:textId="2B7CC45C" w:rsidR="00441EB1" w:rsidRDefault="00483705">
      <w:pPr>
        <w:pStyle w:val="Sommario2"/>
        <w:rPr>
          <w:rFonts w:asciiTheme="minorHAnsi" w:eastAsiaTheme="minorEastAsia" w:hAnsiTheme="minorHAnsi" w:cstheme="minorBidi"/>
          <w:smallCaps w:val="0"/>
          <w:noProof/>
          <w:sz w:val="22"/>
          <w:szCs w:val="22"/>
          <w:lang w:eastAsia="it-IT"/>
        </w:rPr>
      </w:pPr>
      <w:hyperlink w:anchor="_Toc535854444" w:history="1">
        <w:r w:rsidR="00441EB1" w:rsidRPr="00456345">
          <w:rPr>
            <w:rStyle w:val="Collegamentoipertestuale"/>
            <w:noProof/>
          </w:rPr>
          <w:t>7.</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 mappatura, l’analisi e la valutazione del rischio dei processi</w:t>
        </w:r>
        <w:r w:rsidR="00441EB1">
          <w:rPr>
            <w:noProof/>
            <w:webHidden/>
          </w:rPr>
          <w:tab/>
        </w:r>
        <w:r w:rsidR="00441EB1">
          <w:rPr>
            <w:noProof/>
            <w:webHidden/>
          </w:rPr>
          <w:fldChar w:fldCharType="begin"/>
        </w:r>
        <w:r w:rsidR="00441EB1">
          <w:rPr>
            <w:noProof/>
            <w:webHidden/>
          </w:rPr>
          <w:instrText xml:space="preserve"> PAGEREF _Toc535854444 \h </w:instrText>
        </w:r>
        <w:r w:rsidR="00441EB1">
          <w:rPr>
            <w:noProof/>
            <w:webHidden/>
          </w:rPr>
        </w:r>
        <w:r w:rsidR="00441EB1">
          <w:rPr>
            <w:noProof/>
            <w:webHidden/>
          </w:rPr>
          <w:fldChar w:fldCharType="separate"/>
        </w:r>
        <w:r w:rsidR="00441EB1">
          <w:rPr>
            <w:noProof/>
            <w:webHidden/>
          </w:rPr>
          <w:t>43</w:t>
        </w:r>
        <w:r w:rsidR="00441EB1">
          <w:rPr>
            <w:noProof/>
            <w:webHidden/>
          </w:rPr>
          <w:fldChar w:fldCharType="end"/>
        </w:r>
      </w:hyperlink>
    </w:p>
    <w:p w14:paraId="501EBD56" w14:textId="12B23A30" w:rsidR="00441EB1" w:rsidRDefault="00483705">
      <w:pPr>
        <w:pStyle w:val="Sommario3"/>
        <w:rPr>
          <w:rFonts w:asciiTheme="minorHAnsi" w:eastAsiaTheme="minorEastAsia" w:hAnsiTheme="minorHAnsi" w:cstheme="minorBidi"/>
          <w:i w:val="0"/>
          <w:iCs w:val="0"/>
          <w:sz w:val="22"/>
          <w:szCs w:val="22"/>
          <w:lang w:eastAsia="it-IT"/>
        </w:rPr>
      </w:pPr>
      <w:hyperlink w:anchor="_Toc535854445" w:history="1">
        <w:r w:rsidR="00441EB1" w:rsidRPr="00456345">
          <w:rPr>
            <w:rStyle w:val="Collegamentoipertestuale"/>
          </w:rPr>
          <w:t>7.1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L’individuazione dei macro-processi e dei processi a rischio</w:t>
        </w:r>
        <w:r w:rsidR="00441EB1">
          <w:rPr>
            <w:webHidden/>
          </w:rPr>
          <w:tab/>
        </w:r>
        <w:r w:rsidR="00441EB1">
          <w:rPr>
            <w:webHidden/>
          </w:rPr>
          <w:fldChar w:fldCharType="begin"/>
        </w:r>
        <w:r w:rsidR="00441EB1">
          <w:rPr>
            <w:webHidden/>
          </w:rPr>
          <w:instrText xml:space="preserve"> PAGEREF _Toc535854445 \h </w:instrText>
        </w:r>
        <w:r w:rsidR="00441EB1">
          <w:rPr>
            <w:webHidden/>
          </w:rPr>
        </w:r>
        <w:r w:rsidR="00441EB1">
          <w:rPr>
            <w:webHidden/>
          </w:rPr>
          <w:fldChar w:fldCharType="separate"/>
        </w:r>
        <w:r w:rsidR="00441EB1">
          <w:rPr>
            <w:webHidden/>
          </w:rPr>
          <w:t>44</w:t>
        </w:r>
        <w:r w:rsidR="00441EB1">
          <w:rPr>
            <w:webHidden/>
          </w:rPr>
          <w:fldChar w:fldCharType="end"/>
        </w:r>
      </w:hyperlink>
    </w:p>
    <w:p w14:paraId="465268C7" w14:textId="626A1F31" w:rsidR="00441EB1" w:rsidRDefault="00483705">
      <w:pPr>
        <w:pStyle w:val="Sommario3"/>
        <w:rPr>
          <w:rFonts w:asciiTheme="minorHAnsi" w:eastAsiaTheme="minorEastAsia" w:hAnsiTheme="minorHAnsi" w:cstheme="minorBidi"/>
          <w:i w:val="0"/>
          <w:iCs w:val="0"/>
          <w:sz w:val="22"/>
          <w:szCs w:val="22"/>
          <w:lang w:eastAsia="it-IT"/>
        </w:rPr>
      </w:pPr>
      <w:hyperlink w:anchor="_Toc535854446" w:history="1">
        <w:r w:rsidR="00441EB1" w:rsidRPr="00456345">
          <w:rPr>
            <w:rStyle w:val="Collegamentoipertestuale"/>
          </w:rPr>
          <w:t>7.2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Sistema di Gestione della Qualità UNI EN ISO 9001/2008</w:t>
        </w:r>
        <w:r w:rsidR="00441EB1">
          <w:rPr>
            <w:webHidden/>
          </w:rPr>
          <w:tab/>
        </w:r>
        <w:r w:rsidR="00441EB1">
          <w:rPr>
            <w:webHidden/>
          </w:rPr>
          <w:fldChar w:fldCharType="begin"/>
        </w:r>
        <w:r w:rsidR="00441EB1">
          <w:rPr>
            <w:webHidden/>
          </w:rPr>
          <w:instrText xml:space="preserve"> PAGEREF _Toc535854446 \h </w:instrText>
        </w:r>
        <w:r w:rsidR="00441EB1">
          <w:rPr>
            <w:webHidden/>
          </w:rPr>
        </w:r>
        <w:r w:rsidR="00441EB1">
          <w:rPr>
            <w:webHidden/>
          </w:rPr>
          <w:fldChar w:fldCharType="separate"/>
        </w:r>
        <w:r w:rsidR="00441EB1">
          <w:rPr>
            <w:webHidden/>
          </w:rPr>
          <w:t>44</w:t>
        </w:r>
        <w:r w:rsidR="00441EB1">
          <w:rPr>
            <w:webHidden/>
          </w:rPr>
          <w:fldChar w:fldCharType="end"/>
        </w:r>
      </w:hyperlink>
    </w:p>
    <w:p w14:paraId="628A80A5" w14:textId="461B8951" w:rsidR="00441EB1" w:rsidRDefault="00483705">
      <w:pPr>
        <w:pStyle w:val="Sommario2"/>
        <w:rPr>
          <w:rFonts w:asciiTheme="minorHAnsi" w:eastAsiaTheme="minorEastAsia" w:hAnsiTheme="minorHAnsi" w:cstheme="minorBidi"/>
          <w:smallCaps w:val="0"/>
          <w:noProof/>
          <w:sz w:val="22"/>
          <w:szCs w:val="22"/>
          <w:lang w:eastAsia="it-IT"/>
        </w:rPr>
      </w:pPr>
      <w:hyperlink w:anchor="_Toc535854447" w:history="1">
        <w:r w:rsidR="00441EB1" w:rsidRPr="00456345">
          <w:rPr>
            <w:rStyle w:val="Collegamentoipertestuale"/>
            <w:noProof/>
          </w:rPr>
          <w:t>8.</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misure di trattamento del rischio</w:t>
        </w:r>
        <w:r w:rsidR="00441EB1">
          <w:rPr>
            <w:noProof/>
            <w:webHidden/>
          </w:rPr>
          <w:tab/>
        </w:r>
        <w:r w:rsidR="00441EB1">
          <w:rPr>
            <w:noProof/>
            <w:webHidden/>
          </w:rPr>
          <w:fldChar w:fldCharType="begin"/>
        </w:r>
        <w:r w:rsidR="00441EB1">
          <w:rPr>
            <w:noProof/>
            <w:webHidden/>
          </w:rPr>
          <w:instrText xml:space="preserve"> PAGEREF _Toc535854447 \h </w:instrText>
        </w:r>
        <w:r w:rsidR="00441EB1">
          <w:rPr>
            <w:noProof/>
            <w:webHidden/>
          </w:rPr>
        </w:r>
        <w:r w:rsidR="00441EB1">
          <w:rPr>
            <w:noProof/>
            <w:webHidden/>
          </w:rPr>
          <w:fldChar w:fldCharType="separate"/>
        </w:r>
        <w:r w:rsidR="00441EB1">
          <w:rPr>
            <w:noProof/>
            <w:webHidden/>
          </w:rPr>
          <w:t>46</w:t>
        </w:r>
        <w:r w:rsidR="00441EB1">
          <w:rPr>
            <w:noProof/>
            <w:webHidden/>
          </w:rPr>
          <w:fldChar w:fldCharType="end"/>
        </w:r>
      </w:hyperlink>
    </w:p>
    <w:p w14:paraId="7676186C" w14:textId="166971A7" w:rsidR="00441EB1" w:rsidRDefault="00483705">
      <w:pPr>
        <w:pStyle w:val="Sommario3"/>
        <w:rPr>
          <w:rFonts w:asciiTheme="minorHAnsi" w:eastAsiaTheme="minorEastAsia" w:hAnsiTheme="minorHAnsi" w:cstheme="minorBidi"/>
          <w:i w:val="0"/>
          <w:iCs w:val="0"/>
          <w:sz w:val="22"/>
          <w:szCs w:val="22"/>
          <w:lang w:eastAsia="it-IT"/>
        </w:rPr>
      </w:pPr>
      <w:hyperlink w:anchor="_Toc535854448" w:history="1">
        <w:r w:rsidR="00441EB1" w:rsidRPr="00456345">
          <w:rPr>
            <w:rStyle w:val="Collegamentoipertestuale"/>
          </w:rPr>
          <w:t>8.1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trasparenza</w:t>
        </w:r>
        <w:r w:rsidR="00441EB1">
          <w:rPr>
            <w:webHidden/>
          </w:rPr>
          <w:tab/>
        </w:r>
        <w:r w:rsidR="00441EB1">
          <w:rPr>
            <w:webHidden/>
          </w:rPr>
          <w:fldChar w:fldCharType="begin"/>
        </w:r>
        <w:r w:rsidR="00441EB1">
          <w:rPr>
            <w:webHidden/>
          </w:rPr>
          <w:instrText xml:space="preserve"> PAGEREF _Toc535854448 \h </w:instrText>
        </w:r>
        <w:r w:rsidR="00441EB1">
          <w:rPr>
            <w:webHidden/>
          </w:rPr>
        </w:r>
        <w:r w:rsidR="00441EB1">
          <w:rPr>
            <w:webHidden/>
          </w:rPr>
          <w:fldChar w:fldCharType="separate"/>
        </w:r>
        <w:r w:rsidR="00441EB1">
          <w:rPr>
            <w:webHidden/>
          </w:rPr>
          <w:t>46</w:t>
        </w:r>
        <w:r w:rsidR="00441EB1">
          <w:rPr>
            <w:webHidden/>
          </w:rPr>
          <w:fldChar w:fldCharType="end"/>
        </w:r>
      </w:hyperlink>
    </w:p>
    <w:p w14:paraId="2B93E950" w14:textId="7015A67F" w:rsidR="00441EB1" w:rsidRDefault="00483705">
      <w:pPr>
        <w:pStyle w:val="Sommario3"/>
        <w:rPr>
          <w:rFonts w:asciiTheme="minorHAnsi" w:eastAsiaTheme="minorEastAsia" w:hAnsiTheme="minorHAnsi" w:cstheme="minorBidi"/>
          <w:i w:val="0"/>
          <w:iCs w:val="0"/>
          <w:sz w:val="22"/>
          <w:szCs w:val="22"/>
          <w:lang w:eastAsia="it-IT"/>
        </w:rPr>
      </w:pPr>
      <w:hyperlink w:anchor="_Toc535854449" w:history="1">
        <w:r w:rsidR="00441EB1" w:rsidRPr="00456345">
          <w:rPr>
            <w:rStyle w:val="Collegamentoipertestuale"/>
          </w:rPr>
          <w:t>8.2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formazione, la gestione ed il potenziamento dell’intercambiabilità dei dipendenti</w:t>
        </w:r>
        <w:r w:rsidR="00441EB1">
          <w:rPr>
            <w:webHidden/>
          </w:rPr>
          <w:tab/>
        </w:r>
        <w:r w:rsidR="00441EB1">
          <w:rPr>
            <w:webHidden/>
          </w:rPr>
          <w:fldChar w:fldCharType="begin"/>
        </w:r>
        <w:r w:rsidR="00441EB1">
          <w:rPr>
            <w:webHidden/>
          </w:rPr>
          <w:instrText xml:space="preserve"> PAGEREF _Toc535854449 \h </w:instrText>
        </w:r>
        <w:r w:rsidR="00441EB1">
          <w:rPr>
            <w:webHidden/>
          </w:rPr>
        </w:r>
        <w:r w:rsidR="00441EB1">
          <w:rPr>
            <w:webHidden/>
          </w:rPr>
          <w:fldChar w:fldCharType="separate"/>
        </w:r>
        <w:r w:rsidR="00441EB1">
          <w:rPr>
            <w:webHidden/>
          </w:rPr>
          <w:t>46</w:t>
        </w:r>
        <w:r w:rsidR="00441EB1">
          <w:rPr>
            <w:webHidden/>
          </w:rPr>
          <w:fldChar w:fldCharType="end"/>
        </w:r>
      </w:hyperlink>
    </w:p>
    <w:p w14:paraId="646A6220" w14:textId="5D67CCF4" w:rsidR="00441EB1" w:rsidRDefault="00483705">
      <w:pPr>
        <w:pStyle w:val="Sommario3"/>
        <w:rPr>
          <w:rFonts w:asciiTheme="minorHAnsi" w:eastAsiaTheme="minorEastAsia" w:hAnsiTheme="minorHAnsi" w:cstheme="minorBidi"/>
          <w:i w:val="0"/>
          <w:iCs w:val="0"/>
          <w:sz w:val="22"/>
          <w:szCs w:val="22"/>
          <w:lang w:eastAsia="it-IT"/>
        </w:rPr>
      </w:pPr>
      <w:hyperlink w:anchor="_Toc535854450" w:history="1">
        <w:r w:rsidR="00441EB1" w:rsidRPr="00456345">
          <w:rPr>
            <w:rStyle w:val="Collegamentoipertestuale"/>
          </w:rPr>
          <w:t>8.3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rotazione dei , dei Responsabili e dei dipendenti</w:t>
        </w:r>
        <w:r w:rsidR="00441EB1">
          <w:rPr>
            <w:webHidden/>
          </w:rPr>
          <w:tab/>
        </w:r>
        <w:r w:rsidR="00441EB1">
          <w:rPr>
            <w:webHidden/>
          </w:rPr>
          <w:fldChar w:fldCharType="begin"/>
        </w:r>
        <w:r w:rsidR="00441EB1">
          <w:rPr>
            <w:webHidden/>
          </w:rPr>
          <w:instrText xml:space="preserve"> PAGEREF _Toc535854450 \h </w:instrText>
        </w:r>
        <w:r w:rsidR="00441EB1">
          <w:rPr>
            <w:webHidden/>
          </w:rPr>
        </w:r>
        <w:r w:rsidR="00441EB1">
          <w:rPr>
            <w:webHidden/>
          </w:rPr>
          <w:fldChar w:fldCharType="separate"/>
        </w:r>
        <w:r w:rsidR="00441EB1">
          <w:rPr>
            <w:webHidden/>
          </w:rPr>
          <w:t>47</w:t>
        </w:r>
        <w:r w:rsidR="00441EB1">
          <w:rPr>
            <w:webHidden/>
          </w:rPr>
          <w:fldChar w:fldCharType="end"/>
        </w:r>
      </w:hyperlink>
    </w:p>
    <w:p w14:paraId="60434B14" w14:textId="1EC3C1C4" w:rsidR="00441EB1" w:rsidRDefault="00483705">
      <w:pPr>
        <w:pStyle w:val="Sommario3"/>
        <w:rPr>
          <w:rFonts w:asciiTheme="minorHAnsi" w:eastAsiaTheme="minorEastAsia" w:hAnsiTheme="minorHAnsi" w:cstheme="minorBidi"/>
          <w:i w:val="0"/>
          <w:iCs w:val="0"/>
          <w:sz w:val="22"/>
          <w:szCs w:val="22"/>
          <w:lang w:eastAsia="it-IT"/>
        </w:rPr>
      </w:pPr>
      <w:hyperlink w:anchor="_Toc535854451" w:history="1">
        <w:r w:rsidR="00441EB1" w:rsidRPr="00456345">
          <w:rPr>
            <w:rStyle w:val="Collegamentoipertestuale"/>
          </w:rPr>
          <w:t>8.4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tutela del dipendente che segnala illeciti e segnalazioni da parte del cittadino</w:t>
        </w:r>
        <w:r w:rsidR="00441EB1">
          <w:rPr>
            <w:webHidden/>
          </w:rPr>
          <w:tab/>
        </w:r>
        <w:r w:rsidR="00441EB1">
          <w:rPr>
            <w:webHidden/>
          </w:rPr>
          <w:fldChar w:fldCharType="begin"/>
        </w:r>
        <w:r w:rsidR="00441EB1">
          <w:rPr>
            <w:webHidden/>
          </w:rPr>
          <w:instrText xml:space="preserve"> PAGEREF _Toc535854451 \h </w:instrText>
        </w:r>
        <w:r w:rsidR="00441EB1">
          <w:rPr>
            <w:webHidden/>
          </w:rPr>
        </w:r>
        <w:r w:rsidR="00441EB1">
          <w:rPr>
            <w:webHidden/>
          </w:rPr>
          <w:fldChar w:fldCharType="separate"/>
        </w:r>
        <w:r w:rsidR="00441EB1">
          <w:rPr>
            <w:webHidden/>
          </w:rPr>
          <w:t>48</w:t>
        </w:r>
        <w:r w:rsidR="00441EB1">
          <w:rPr>
            <w:webHidden/>
          </w:rPr>
          <w:fldChar w:fldCharType="end"/>
        </w:r>
      </w:hyperlink>
    </w:p>
    <w:p w14:paraId="10A415DC" w14:textId="07357318" w:rsidR="00441EB1" w:rsidRDefault="00483705">
      <w:pPr>
        <w:pStyle w:val="Sommario3"/>
        <w:rPr>
          <w:rFonts w:asciiTheme="minorHAnsi" w:eastAsiaTheme="minorEastAsia" w:hAnsiTheme="minorHAnsi" w:cstheme="minorBidi"/>
          <w:i w:val="0"/>
          <w:iCs w:val="0"/>
          <w:sz w:val="22"/>
          <w:szCs w:val="22"/>
          <w:lang w:eastAsia="it-IT"/>
        </w:rPr>
      </w:pPr>
      <w:hyperlink w:anchor="_Toc535854452" w:history="1">
        <w:r w:rsidR="00441EB1" w:rsidRPr="00456345">
          <w:rPr>
            <w:rStyle w:val="Collegamentoipertestuale"/>
          </w:rPr>
          <w:t>8.5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conflitto di interessi</w:t>
        </w:r>
        <w:r w:rsidR="00441EB1">
          <w:rPr>
            <w:webHidden/>
          </w:rPr>
          <w:tab/>
        </w:r>
        <w:r w:rsidR="00441EB1">
          <w:rPr>
            <w:webHidden/>
          </w:rPr>
          <w:fldChar w:fldCharType="begin"/>
        </w:r>
        <w:r w:rsidR="00441EB1">
          <w:rPr>
            <w:webHidden/>
          </w:rPr>
          <w:instrText xml:space="preserve"> PAGEREF _Toc535854452 \h </w:instrText>
        </w:r>
        <w:r w:rsidR="00441EB1">
          <w:rPr>
            <w:webHidden/>
          </w:rPr>
        </w:r>
        <w:r w:rsidR="00441EB1">
          <w:rPr>
            <w:webHidden/>
          </w:rPr>
          <w:fldChar w:fldCharType="separate"/>
        </w:r>
        <w:r w:rsidR="00441EB1">
          <w:rPr>
            <w:webHidden/>
          </w:rPr>
          <w:t>49</w:t>
        </w:r>
        <w:r w:rsidR="00441EB1">
          <w:rPr>
            <w:webHidden/>
          </w:rPr>
          <w:fldChar w:fldCharType="end"/>
        </w:r>
      </w:hyperlink>
    </w:p>
    <w:p w14:paraId="01E7595D" w14:textId="67F33DA7" w:rsidR="00441EB1" w:rsidRDefault="00483705">
      <w:pPr>
        <w:pStyle w:val="Sommario3"/>
        <w:rPr>
          <w:rFonts w:asciiTheme="minorHAnsi" w:eastAsiaTheme="minorEastAsia" w:hAnsiTheme="minorHAnsi" w:cstheme="minorBidi"/>
          <w:i w:val="0"/>
          <w:iCs w:val="0"/>
          <w:sz w:val="22"/>
          <w:szCs w:val="22"/>
          <w:lang w:eastAsia="it-IT"/>
        </w:rPr>
      </w:pPr>
      <w:hyperlink w:anchor="_Toc535854453" w:history="1">
        <w:r w:rsidR="00441EB1" w:rsidRPr="00456345">
          <w:rPr>
            <w:rStyle w:val="Collegamentoipertestuale"/>
          </w:rPr>
          <w:t>8.6</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conferimento di incarichi dirigenziali: inconferibilità e incompatibilità</w:t>
        </w:r>
        <w:r w:rsidR="00441EB1">
          <w:rPr>
            <w:webHidden/>
          </w:rPr>
          <w:tab/>
        </w:r>
        <w:r w:rsidR="00441EB1">
          <w:rPr>
            <w:webHidden/>
          </w:rPr>
          <w:fldChar w:fldCharType="begin"/>
        </w:r>
        <w:r w:rsidR="00441EB1">
          <w:rPr>
            <w:webHidden/>
          </w:rPr>
          <w:instrText xml:space="preserve"> PAGEREF _Toc535854453 \h </w:instrText>
        </w:r>
        <w:r w:rsidR="00441EB1">
          <w:rPr>
            <w:webHidden/>
          </w:rPr>
        </w:r>
        <w:r w:rsidR="00441EB1">
          <w:rPr>
            <w:webHidden/>
          </w:rPr>
          <w:fldChar w:fldCharType="separate"/>
        </w:r>
        <w:r w:rsidR="00441EB1">
          <w:rPr>
            <w:webHidden/>
          </w:rPr>
          <w:t>50</w:t>
        </w:r>
        <w:r w:rsidR="00441EB1">
          <w:rPr>
            <w:webHidden/>
          </w:rPr>
          <w:fldChar w:fldCharType="end"/>
        </w:r>
      </w:hyperlink>
    </w:p>
    <w:p w14:paraId="235C005B" w14:textId="32F5D271" w:rsidR="00441EB1" w:rsidRDefault="00483705">
      <w:pPr>
        <w:pStyle w:val="Sommario3"/>
        <w:rPr>
          <w:rFonts w:asciiTheme="minorHAnsi" w:eastAsiaTheme="minorEastAsia" w:hAnsiTheme="minorHAnsi" w:cstheme="minorBidi"/>
          <w:i w:val="0"/>
          <w:iCs w:val="0"/>
          <w:sz w:val="22"/>
          <w:szCs w:val="22"/>
          <w:lang w:eastAsia="it-IT"/>
        </w:rPr>
      </w:pPr>
      <w:hyperlink w:anchor="_Toc535854454" w:history="1">
        <w:r w:rsidR="00441EB1" w:rsidRPr="00456345">
          <w:rPr>
            <w:rStyle w:val="Collegamentoipertestuale"/>
          </w:rPr>
          <w:t>8.7</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Lo svolgimento di incarichi d’ufficio – attività ed incarichi extra-istituzionali</w:t>
        </w:r>
        <w:r w:rsidR="00441EB1">
          <w:rPr>
            <w:webHidden/>
          </w:rPr>
          <w:tab/>
        </w:r>
        <w:r w:rsidR="00441EB1">
          <w:rPr>
            <w:webHidden/>
          </w:rPr>
          <w:fldChar w:fldCharType="begin"/>
        </w:r>
        <w:r w:rsidR="00441EB1">
          <w:rPr>
            <w:webHidden/>
          </w:rPr>
          <w:instrText xml:space="preserve"> PAGEREF _Toc535854454 \h </w:instrText>
        </w:r>
        <w:r w:rsidR="00441EB1">
          <w:rPr>
            <w:webHidden/>
          </w:rPr>
        </w:r>
        <w:r w:rsidR="00441EB1">
          <w:rPr>
            <w:webHidden/>
          </w:rPr>
          <w:fldChar w:fldCharType="separate"/>
        </w:r>
        <w:r w:rsidR="00441EB1">
          <w:rPr>
            <w:webHidden/>
          </w:rPr>
          <w:t>52</w:t>
        </w:r>
        <w:r w:rsidR="00441EB1">
          <w:rPr>
            <w:webHidden/>
          </w:rPr>
          <w:fldChar w:fldCharType="end"/>
        </w:r>
      </w:hyperlink>
    </w:p>
    <w:p w14:paraId="1B86660D" w14:textId="156071DE" w:rsidR="00441EB1" w:rsidRDefault="00483705">
      <w:pPr>
        <w:pStyle w:val="Sommario3"/>
        <w:rPr>
          <w:rFonts w:asciiTheme="minorHAnsi" w:eastAsiaTheme="minorEastAsia" w:hAnsiTheme="minorHAnsi" w:cstheme="minorBidi"/>
          <w:i w:val="0"/>
          <w:iCs w:val="0"/>
          <w:sz w:val="22"/>
          <w:szCs w:val="22"/>
          <w:lang w:eastAsia="it-IT"/>
        </w:rPr>
      </w:pPr>
      <w:hyperlink w:anchor="_Toc535854455" w:history="1">
        <w:r w:rsidR="00441EB1" w:rsidRPr="00456345">
          <w:rPr>
            <w:rStyle w:val="Collegamentoipertestuale"/>
          </w:rPr>
          <w:t>8.8</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attività successive alla cessazione dal servizio (Pantouflage)</w:t>
        </w:r>
        <w:r w:rsidR="00441EB1">
          <w:rPr>
            <w:webHidden/>
          </w:rPr>
          <w:tab/>
        </w:r>
        <w:r w:rsidR="00441EB1">
          <w:rPr>
            <w:webHidden/>
          </w:rPr>
          <w:fldChar w:fldCharType="begin"/>
        </w:r>
        <w:r w:rsidR="00441EB1">
          <w:rPr>
            <w:webHidden/>
          </w:rPr>
          <w:instrText xml:space="preserve"> PAGEREF _Toc535854455 \h </w:instrText>
        </w:r>
        <w:r w:rsidR="00441EB1">
          <w:rPr>
            <w:webHidden/>
          </w:rPr>
        </w:r>
        <w:r w:rsidR="00441EB1">
          <w:rPr>
            <w:webHidden/>
          </w:rPr>
          <w:fldChar w:fldCharType="separate"/>
        </w:r>
        <w:r w:rsidR="00441EB1">
          <w:rPr>
            <w:webHidden/>
          </w:rPr>
          <w:t>52</w:t>
        </w:r>
        <w:r w:rsidR="00441EB1">
          <w:rPr>
            <w:webHidden/>
          </w:rPr>
          <w:fldChar w:fldCharType="end"/>
        </w:r>
      </w:hyperlink>
    </w:p>
    <w:p w14:paraId="0E05B3AD" w14:textId="75D8D33B" w:rsidR="00441EB1" w:rsidRDefault="00483705">
      <w:pPr>
        <w:pStyle w:val="Sommario3"/>
        <w:rPr>
          <w:rFonts w:asciiTheme="minorHAnsi" w:eastAsiaTheme="minorEastAsia" w:hAnsiTheme="minorHAnsi" w:cstheme="minorBidi"/>
          <w:i w:val="0"/>
          <w:iCs w:val="0"/>
          <w:sz w:val="22"/>
          <w:szCs w:val="22"/>
          <w:lang w:eastAsia="it-IT"/>
        </w:rPr>
      </w:pPr>
      <w:hyperlink w:anchor="_Toc535854456" w:history="1">
        <w:r w:rsidR="00441EB1" w:rsidRPr="00456345">
          <w:rPr>
            <w:rStyle w:val="Collegamentoipertestuale"/>
          </w:rPr>
          <w:t>8.9</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 formazione di commissioni, assegnazioni agli uffici, conferimento di incarichi dirigenziali in caso di condanna penale per delitti contro la Pubblica Amministrazione</w:t>
        </w:r>
        <w:r w:rsidR="00441EB1">
          <w:rPr>
            <w:webHidden/>
          </w:rPr>
          <w:tab/>
        </w:r>
        <w:r w:rsidR="00441EB1">
          <w:rPr>
            <w:webHidden/>
          </w:rPr>
          <w:fldChar w:fldCharType="begin"/>
        </w:r>
        <w:r w:rsidR="00441EB1">
          <w:rPr>
            <w:webHidden/>
          </w:rPr>
          <w:instrText xml:space="preserve"> PAGEREF _Toc535854456 \h </w:instrText>
        </w:r>
        <w:r w:rsidR="00441EB1">
          <w:rPr>
            <w:webHidden/>
          </w:rPr>
        </w:r>
        <w:r w:rsidR="00441EB1">
          <w:rPr>
            <w:webHidden/>
          </w:rPr>
          <w:fldChar w:fldCharType="separate"/>
        </w:r>
        <w:r w:rsidR="00441EB1">
          <w:rPr>
            <w:webHidden/>
          </w:rPr>
          <w:t>54</w:t>
        </w:r>
        <w:r w:rsidR="00441EB1">
          <w:rPr>
            <w:webHidden/>
          </w:rPr>
          <w:fldChar w:fldCharType="end"/>
        </w:r>
      </w:hyperlink>
    </w:p>
    <w:p w14:paraId="0BCABB1C" w14:textId="1FA2F902" w:rsidR="00441EB1" w:rsidRDefault="00483705">
      <w:pPr>
        <w:pStyle w:val="Sommario3"/>
        <w:rPr>
          <w:rFonts w:asciiTheme="minorHAnsi" w:eastAsiaTheme="minorEastAsia" w:hAnsiTheme="minorHAnsi" w:cstheme="minorBidi"/>
          <w:i w:val="0"/>
          <w:iCs w:val="0"/>
          <w:sz w:val="22"/>
          <w:szCs w:val="22"/>
          <w:lang w:eastAsia="it-IT"/>
        </w:rPr>
      </w:pPr>
      <w:hyperlink w:anchor="_Toc535854457" w:history="1">
        <w:r w:rsidR="00441EB1" w:rsidRPr="00456345">
          <w:rPr>
            <w:rStyle w:val="Collegamentoipertestuale"/>
          </w:rPr>
          <w:t>8.10</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L’affidamento di lavori, servizi e forniture</w:t>
        </w:r>
        <w:r w:rsidR="00441EB1">
          <w:rPr>
            <w:webHidden/>
          </w:rPr>
          <w:tab/>
        </w:r>
        <w:r w:rsidR="00441EB1">
          <w:rPr>
            <w:webHidden/>
          </w:rPr>
          <w:fldChar w:fldCharType="begin"/>
        </w:r>
        <w:r w:rsidR="00441EB1">
          <w:rPr>
            <w:webHidden/>
          </w:rPr>
          <w:instrText xml:space="preserve"> PAGEREF _Toc535854457 \h </w:instrText>
        </w:r>
        <w:r w:rsidR="00441EB1">
          <w:rPr>
            <w:webHidden/>
          </w:rPr>
        </w:r>
        <w:r w:rsidR="00441EB1">
          <w:rPr>
            <w:webHidden/>
          </w:rPr>
          <w:fldChar w:fldCharType="separate"/>
        </w:r>
        <w:r w:rsidR="00441EB1">
          <w:rPr>
            <w:webHidden/>
          </w:rPr>
          <w:t>55</w:t>
        </w:r>
        <w:r w:rsidR="00441EB1">
          <w:rPr>
            <w:webHidden/>
          </w:rPr>
          <w:fldChar w:fldCharType="end"/>
        </w:r>
      </w:hyperlink>
    </w:p>
    <w:p w14:paraId="7B78CAAE" w14:textId="0F82BA49" w:rsidR="00441EB1" w:rsidRDefault="00483705">
      <w:pPr>
        <w:pStyle w:val="Sommario5"/>
        <w:tabs>
          <w:tab w:val="left" w:pos="2117"/>
        </w:tabs>
        <w:rPr>
          <w:rFonts w:asciiTheme="minorHAnsi" w:eastAsiaTheme="minorEastAsia" w:hAnsiTheme="minorHAnsi" w:cstheme="minorBidi"/>
          <w:noProof/>
          <w:sz w:val="22"/>
          <w:szCs w:val="22"/>
          <w:lang w:eastAsia="it-IT"/>
        </w:rPr>
      </w:pPr>
      <w:hyperlink w:anchor="_Toc535854458" w:history="1">
        <w:r w:rsidR="00441EB1" w:rsidRPr="00456345">
          <w:rPr>
            <w:rStyle w:val="Collegamentoipertestuale"/>
            <w:rFonts w:ascii="Times New Roman" w:eastAsia="Times New Roman" w:hAnsi="Times New Roman"/>
            <w:b/>
            <w:noProof/>
          </w:rPr>
          <w:t xml:space="preserve">a)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programmazione</w:t>
        </w:r>
        <w:r w:rsidR="00441EB1">
          <w:rPr>
            <w:noProof/>
            <w:webHidden/>
          </w:rPr>
          <w:tab/>
        </w:r>
        <w:r w:rsidR="00441EB1">
          <w:rPr>
            <w:noProof/>
            <w:webHidden/>
          </w:rPr>
          <w:fldChar w:fldCharType="begin"/>
        </w:r>
        <w:r w:rsidR="00441EB1">
          <w:rPr>
            <w:noProof/>
            <w:webHidden/>
          </w:rPr>
          <w:instrText xml:space="preserve"> PAGEREF _Toc535854458 \h </w:instrText>
        </w:r>
        <w:r w:rsidR="00441EB1">
          <w:rPr>
            <w:noProof/>
            <w:webHidden/>
          </w:rPr>
        </w:r>
        <w:r w:rsidR="00441EB1">
          <w:rPr>
            <w:noProof/>
            <w:webHidden/>
          </w:rPr>
          <w:fldChar w:fldCharType="separate"/>
        </w:r>
        <w:r w:rsidR="00441EB1">
          <w:rPr>
            <w:noProof/>
            <w:webHidden/>
          </w:rPr>
          <w:t>55</w:t>
        </w:r>
        <w:r w:rsidR="00441EB1">
          <w:rPr>
            <w:noProof/>
            <w:webHidden/>
          </w:rPr>
          <w:fldChar w:fldCharType="end"/>
        </w:r>
      </w:hyperlink>
    </w:p>
    <w:p w14:paraId="6404672D" w14:textId="4CC78B76" w:rsidR="00441EB1" w:rsidRDefault="00483705">
      <w:pPr>
        <w:pStyle w:val="Sommario5"/>
        <w:tabs>
          <w:tab w:val="left" w:pos="2127"/>
        </w:tabs>
        <w:rPr>
          <w:rFonts w:asciiTheme="minorHAnsi" w:eastAsiaTheme="minorEastAsia" w:hAnsiTheme="minorHAnsi" w:cstheme="minorBidi"/>
          <w:noProof/>
          <w:sz w:val="22"/>
          <w:szCs w:val="22"/>
          <w:lang w:eastAsia="it-IT"/>
        </w:rPr>
      </w:pPr>
      <w:hyperlink w:anchor="_Toc535854459" w:history="1">
        <w:r w:rsidR="00441EB1" w:rsidRPr="00456345">
          <w:rPr>
            <w:rStyle w:val="Collegamentoipertestuale"/>
            <w:rFonts w:ascii="Times New Roman" w:eastAsia="Times New Roman" w:hAnsi="Times New Roman"/>
            <w:b/>
            <w:noProof/>
          </w:rPr>
          <w:t xml:space="preserve">b)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progettazione</w:t>
        </w:r>
        <w:r w:rsidR="00441EB1">
          <w:rPr>
            <w:noProof/>
            <w:webHidden/>
          </w:rPr>
          <w:tab/>
        </w:r>
        <w:r w:rsidR="00441EB1">
          <w:rPr>
            <w:noProof/>
            <w:webHidden/>
          </w:rPr>
          <w:fldChar w:fldCharType="begin"/>
        </w:r>
        <w:r w:rsidR="00441EB1">
          <w:rPr>
            <w:noProof/>
            <w:webHidden/>
          </w:rPr>
          <w:instrText xml:space="preserve"> PAGEREF _Toc535854459 \h </w:instrText>
        </w:r>
        <w:r w:rsidR="00441EB1">
          <w:rPr>
            <w:noProof/>
            <w:webHidden/>
          </w:rPr>
        </w:r>
        <w:r w:rsidR="00441EB1">
          <w:rPr>
            <w:noProof/>
            <w:webHidden/>
          </w:rPr>
          <w:fldChar w:fldCharType="separate"/>
        </w:r>
        <w:r w:rsidR="00441EB1">
          <w:rPr>
            <w:noProof/>
            <w:webHidden/>
          </w:rPr>
          <w:t>55</w:t>
        </w:r>
        <w:r w:rsidR="00441EB1">
          <w:rPr>
            <w:noProof/>
            <w:webHidden/>
          </w:rPr>
          <w:fldChar w:fldCharType="end"/>
        </w:r>
      </w:hyperlink>
    </w:p>
    <w:p w14:paraId="17F70DD4" w14:textId="668BC973" w:rsidR="00441EB1" w:rsidRDefault="00483705">
      <w:pPr>
        <w:pStyle w:val="Sommario5"/>
        <w:tabs>
          <w:tab w:val="left" w:pos="2107"/>
        </w:tabs>
        <w:rPr>
          <w:rFonts w:asciiTheme="minorHAnsi" w:eastAsiaTheme="minorEastAsia" w:hAnsiTheme="minorHAnsi" w:cstheme="minorBidi"/>
          <w:noProof/>
          <w:sz w:val="22"/>
          <w:szCs w:val="22"/>
          <w:lang w:eastAsia="it-IT"/>
        </w:rPr>
      </w:pPr>
      <w:hyperlink w:anchor="_Toc535854460" w:history="1">
        <w:r w:rsidR="00441EB1" w:rsidRPr="00456345">
          <w:rPr>
            <w:rStyle w:val="Collegamentoipertestuale"/>
            <w:rFonts w:ascii="Times New Roman" w:eastAsia="Times New Roman" w:hAnsi="Times New Roman"/>
            <w:b/>
            <w:noProof/>
          </w:rPr>
          <w:t xml:space="preserve">c)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selezione del contraente</w:t>
        </w:r>
        <w:r w:rsidR="00441EB1">
          <w:rPr>
            <w:noProof/>
            <w:webHidden/>
          </w:rPr>
          <w:tab/>
        </w:r>
        <w:r w:rsidR="00441EB1">
          <w:rPr>
            <w:noProof/>
            <w:webHidden/>
          </w:rPr>
          <w:fldChar w:fldCharType="begin"/>
        </w:r>
        <w:r w:rsidR="00441EB1">
          <w:rPr>
            <w:noProof/>
            <w:webHidden/>
          </w:rPr>
          <w:instrText xml:space="preserve"> PAGEREF _Toc535854460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7BDA47BE" w14:textId="19C31E0F" w:rsidR="00441EB1" w:rsidRDefault="00483705">
      <w:pPr>
        <w:pStyle w:val="Sommario5"/>
        <w:tabs>
          <w:tab w:val="left" w:pos="2127"/>
        </w:tabs>
        <w:rPr>
          <w:rFonts w:asciiTheme="minorHAnsi" w:eastAsiaTheme="minorEastAsia" w:hAnsiTheme="minorHAnsi" w:cstheme="minorBidi"/>
          <w:noProof/>
          <w:sz w:val="22"/>
          <w:szCs w:val="22"/>
          <w:lang w:eastAsia="it-IT"/>
        </w:rPr>
      </w:pPr>
      <w:hyperlink w:anchor="_Toc535854461" w:history="1">
        <w:r w:rsidR="00441EB1" w:rsidRPr="00456345">
          <w:rPr>
            <w:rStyle w:val="Collegamentoipertestuale"/>
            <w:rFonts w:ascii="Times New Roman" w:eastAsia="Times New Roman" w:hAnsi="Times New Roman"/>
            <w:b/>
            <w:noProof/>
          </w:rPr>
          <w:t xml:space="preserve">d)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verifica dell’aggiudicazione e stipula del contratto</w:t>
        </w:r>
        <w:r w:rsidR="00441EB1">
          <w:rPr>
            <w:noProof/>
            <w:webHidden/>
          </w:rPr>
          <w:tab/>
        </w:r>
        <w:r w:rsidR="00441EB1">
          <w:rPr>
            <w:noProof/>
            <w:webHidden/>
          </w:rPr>
          <w:fldChar w:fldCharType="begin"/>
        </w:r>
        <w:r w:rsidR="00441EB1">
          <w:rPr>
            <w:noProof/>
            <w:webHidden/>
          </w:rPr>
          <w:instrText xml:space="preserve"> PAGEREF _Toc535854461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7FFF3A08" w14:textId="7696DC03" w:rsidR="00441EB1" w:rsidRDefault="00483705">
      <w:pPr>
        <w:pStyle w:val="Sommario5"/>
        <w:tabs>
          <w:tab w:val="left" w:pos="2107"/>
        </w:tabs>
        <w:rPr>
          <w:rFonts w:asciiTheme="minorHAnsi" w:eastAsiaTheme="minorEastAsia" w:hAnsiTheme="minorHAnsi" w:cstheme="minorBidi"/>
          <w:noProof/>
          <w:sz w:val="22"/>
          <w:szCs w:val="22"/>
          <w:lang w:eastAsia="it-IT"/>
        </w:rPr>
      </w:pPr>
      <w:hyperlink w:anchor="_Toc535854462" w:history="1">
        <w:r w:rsidR="00441EB1" w:rsidRPr="00456345">
          <w:rPr>
            <w:rStyle w:val="Collegamentoipertestuale"/>
            <w:rFonts w:ascii="Times New Roman" w:eastAsia="Times New Roman" w:hAnsi="Times New Roman"/>
            <w:b/>
            <w:noProof/>
          </w:rPr>
          <w:t xml:space="preserve">e)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L’esecuzione del contratto</w:t>
        </w:r>
        <w:r w:rsidR="00441EB1">
          <w:rPr>
            <w:noProof/>
            <w:webHidden/>
          </w:rPr>
          <w:tab/>
        </w:r>
        <w:r w:rsidR="00441EB1">
          <w:rPr>
            <w:noProof/>
            <w:webHidden/>
          </w:rPr>
          <w:fldChar w:fldCharType="begin"/>
        </w:r>
        <w:r w:rsidR="00441EB1">
          <w:rPr>
            <w:noProof/>
            <w:webHidden/>
          </w:rPr>
          <w:instrText xml:space="preserve"> PAGEREF _Toc535854462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7D624867" w14:textId="3958EE71" w:rsidR="00441EB1" w:rsidRDefault="00483705">
      <w:pPr>
        <w:pStyle w:val="Sommario5"/>
        <w:tabs>
          <w:tab w:val="left" w:pos="2087"/>
        </w:tabs>
        <w:rPr>
          <w:rFonts w:asciiTheme="minorHAnsi" w:eastAsiaTheme="minorEastAsia" w:hAnsiTheme="minorHAnsi" w:cstheme="minorBidi"/>
          <w:noProof/>
          <w:sz w:val="22"/>
          <w:szCs w:val="22"/>
          <w:lang w:eastAsia="it-IT"/>
        </w:rPr>
      </w:pPr>
      <w:hyperlink w:anchor="_Toc535854463" w:history="1">
        <w:r w:rsidR="00441EB1" w:rsidRPr="00456345">
          <w:rPr>
            <w:rStyle w:val="Collegamentoipertestuale"/>
            <w:rFonts w:ascii="Times New Roman" w:eastAsia="Times New Roman" w:hAnsi="Times New Roman"/>
            <w:b/>
            <w:noProof/>
          </w:rPr>
          <w:t xml:space="preserve">f) </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La rendicontazione del contratto</w:t>
        </w:r>
        <w:r w:rsidR="00441EB1">
          <w:rPr>
            <w:noProof/>
            <w:webHidden/>
          </w:rPr>
          <w:tab/>
        </w:r>
        <w:r w:rsidR="00441EB1">
          <w:rPr>
            <w:noProof/>
            <w:webHidden/>
          </w:rPr>
          <w:fldChar w:fldCharType="begin"/>
        </w:r>
        <w:r w:rsidR="00441EB1">
          <w:rPr>
            <w:noProof/>
            <w:webHidden/>
          </w:rPr>
          <w:instrText xml:space="preserve"> PAGEREF _Toc535854463 \h </w:instrText>
        </w:r>
        <w:r w:rsidR="00441EB1">
          <w:rPr>
            <w:noProof/>
            <w:webHidden/>
          </w:rPr>
        </w:r>
        <w:r w:rsidR="00441EB1">
          <w:rPr>
            <w:noProof/>
            <w:webHidden/>
          </w:rPr>
          <w:fldChar w:fldCharType="separate"/>
        </w:r>
        <w:r w:rsidR="00441EB1">
          <w:rPr>
            <w:noProof/>
            <w:webHidden/>
          </w:rPr>
          <w:t>56</w:t>
        </w:r>
        <w:r w:rsidR="00441EB1">
          <w:rPr>
            <w:noProof/>
            <w:webHidden/>
          </w:rPr>
          <w:fldChar w:fldCharType="end"/>
        </w:r>
      </w:hyperlink>
    </w:p>
    <w:p w14:paraId="3E808F3B" w14:textId="3D92055D" w:rsidR="00441EB1" w:rsidRDefault="00483705">
      <w:pPr>
        <w:pStyle w:val="Sommario4"/>
        <w:rPr>
          <w:rFonts w:asciiTheme="minorHAnsi" w:eastAsiaTheme="minorEastAsia" w:hAnsiTheme="minorHAnsi" w:cstheme="minorBidi"/>
          <w:sz w:val="22"/>
          <w:szCs w:val="22"/>
        </w:rPr>
      </w:pPr>
      <w:hyperlink w:anchor="_Toc535854464" w:history="1">
        <w:r w:rsidR="00441EB1" w:rsidRPr="00456345">
          <w:rPr>
            <w:rStyle w:val="Collegamentoipertestuale"/>
          </w:rPr>
          <w:t>8.10.1.</w:t>
        </w:r>
        <w:r w:rsidR="00441EB1">
          <w:rPr>
            <w:rFonts w:asciiTheme="minorHAnsi" w:eastAsiaTheme="minorEastAsia" w:hAnsiTheme="minorHAnsi" w:cstheme="minorBidi"/>
            <w:sz w:val="22"/>
            <w:szCs w:val="22"/>
          </w:rPr>
          <w:tab/>
        </w:r>
        <w:r w:rsidR="00441EB1" w:rsidRPr="00456345">
          <w:rPr>
            <w:rStyle w:val="Collegamentoipertestuale"/>
          </w:rPr>
          <w:t>Le indicazioni dell’Autorità garante della concorrenza e del mercato</w:t>
        </w:r>
        <w:r w:rsidR="00441EB1">
          <w:rPr>
            <w:webHidden/>
          </w:rPr>
          <w:tab/>
        </w:r>
        <w:r w:rsidR="00441EB1">
          <w:rPr>
            <w:webHidden/>
          </w:rPr>
          <w:fldChar w:fldCharType="begin"/>
        </w:r>
        <w:r w:rsidR="00441EB1">
          <w:rPr>
            <w:webHidden/>
          </w:rPr>
          <w:instrText xml:space="preserve"> PAGEREF _Toc535854464 \h </w:instrText>
        </w:r>
        <w:r w:rsidR="00441EB1">
          <w:rPr>
            <w:webHidden/>
          </w:rPr>
        </w:r>
        <w:r w:rsidR="00441EB1">
          <w:rPr>
            <w:webHidden/>
          </w:rPr>
          <w:fldChar w:fldCharType="separate"/>
        </w:r>
        <w:r w:rsidR="00441EB1">
          <w:rPr>
            <w:webHidden/>
          </w:rPr>
          <w:t>56</w:t>
        </w:r>
        <w:r w:rsidR="00441EB1">
          <w:rPr>
            <w:webHidden/>
          </w:rPr>
          <w:fldChar w:fldCharType="end"/>
        </w:r>
      </w:hyperlink>
    </w:p>
    <w:p w14:paraId="65038EFE" w14:textId="5BB1381A" w:rsidR="00441EB1" w:rsidRDefault="00483705">
      <w:pPr>
        <w:pStyle w:val="Sommario5"/>
        <w:tabs>
          <w:tab w:val="left" w:pos="2072"/>
        </w:tabs>
        <w:rPr>
          <w:rFonts w:asciiTheme="minorHAnsi" w:eastAsiaTheme="minorEastAsia" w:hAnsiTheme="minorHAnsi" w:cstheme="minorBidi"/>
          <w:noProof/>
          <w:sz w:val="22"/>
          <w:szCs w:val="22"/>
          <w:lang w:eastAsia="it-IT"/>
        </w:rPr>
      </w:pPr>
      <w:hyperlink w:anchor="_Toc535854465" w:history="1">
        <w:r w:rsidR="00441EB1" w:rsidRPr="00456345">
          <w:rPr>
            <w:rStyle w:val="Collegamentoipertestuale"/>
            <w:rFonts w:ascii="Times New Roman" w:eastAsia="Times New Roman" w:hAnsi="Times New Roman"/>
            <w:b/>
            <w:noProof/>
          </w:rPr>
          <w:t>a)</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Il boicottaggio della gara,</w:t>
        </w:r>
        <w:r w:rsidR="00441EB1">
          <w:rPr>
            <w:noProof/>
            <w:webHidden/>
          </w:rPr>
          <w:tab/>
        </w:r>
        <w:r w:rsidR="00441EB1">
          <w:rPr>
            <w:noProof/>
            <w:webHidden/>
          </w:rPr>
          <w:fldChar w:fldCharType="begin"/>
        </w:r>
        <w:r w:rsidR="00441EB1">
          <w:rPr>
            <w:noProof/>
            <w:webHidden/>
          </w:rPr>
          <w:instrText xml:space="preserve"> PAGEREF _Toc535854465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549187D4" w14:textId="62D6C521" w:rsidR="00441EB1" w:rsidRDefault="00483705">
      <w:pPr>
        <w:pStyle w:val="Sommario5"/>
        <w:tabs>
          <w:tab w:val="left" w:pos="2082"/>
        </w:tabs>
        <w:rPr>
          <w:rFonts w:asciiTheme="minorHAnsi" w:eastAsiaTheme="minorEastAsia" w:hAnsiTheme="minorHAnsi" w:cstheme="minorBidi"/>
          <w:noProof/>
          <w:sz w:val="22"/>
          <w:szCs w:val="22"/>
          <w:lang w:eastAsia="it-IT"/>
        </w:rPr>
      </w:pPr>
      <w:hyperlink w:anchor="_Toc535854466" w:history="1">
        <w:r w:rsidR="00441EB1" w:rsidRPr="00456345">
          <w:rPr>
            <w:rStyle w:val="Collegamentoipertestuale"/>
            <w:rFonts w:ascii="Times New Roman" w:eastAsia="Times New Roman" w:hAnsi="Times New Roman"/>
            <w:b/>
            <w:noProof/>
          </w:rPr>
          <w:t>b)</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Le offerte di comodo,</w:t>
        </w:r>
        <w:r w:rsidR="00441EB1">
          <w:rPr>
            <w:noProof/>
            <w:webHidden/>
          </w:rPr>
          <w:tab/>
        </w:r>
        <w:r w:rsidR="00441EB1">
          <w:rPr>
            <w:noProof/>
            <w:webHidden/>
          </w:rPr>
          <w:fldChar w:fldCharType="begin"/>
        </w:r>
        <w:r w:rsidR="00441EB1">
          <w:rPr>
            <w:noProof/>
            <w:webHidden/>
          </w:rPr>
          <w:instrText xml:space="preserve"> PAGEREF _Toc535854466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6E14BCE2" w14:textId="161BA5D3" w:rsidR="00441EB1" w:rsidRDefault="00483705">
      <w:pPr>
        <w:pStyle w:val="Sommario5"/>
        <w:tabs>
          <w:tab w:val="left" w:pos="2062"/>
        </w:tabs>
        <w:rPr>
          <w:rFonts w:asciiTheme="minorHAnsi" w:eastAsiaTheme="minorEastAsia" w:hAnsiTheme="minorHAnsi" w:cstheme="minorBidi"/>
          <w:noProof/>
          <w:sz w:val="22"/>
          <w:szCs w:val="22"/>
          <w:lang w:eastAsia="it-IT"/>
        </w:rPr>
      </w:pPr>
      <w:hyperlink w:anchor="_Toc535854467" w:history="1">
        <w:r w:rsidR="00441EB1" w:rsidRPr="00456345">
          <w:rPr>
            <w:rStyle w:val="Collegamentoipertestuale"/>
            <w:rFonts w:ascii="Times New Roman" w:eastAsia="Times New Roman" w:hAnsi="Times New Roman"/>
            <w:b/>
            <w:noProof/>
          </w:rPr>
          <w:t>c)</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I subappalti o le ATI (Associazione Temporanea d’Imprese).</w:t>
        </w:r>
        <w:r w:rsidR="00441EB1">
          <w:rPr>
            <w:noProof/>
            <w:webHidden/>
          </w:rPr>
          <w:tab/>
        </w:r>
        <w:r w:rsidR="00441EB1">
          <w:rPr>
            <w:noProof/>
            <w:webHidden/>
          </w:rPr>
          <w:fldChar w:fldCharType="begin"/>
        </w:r>
        <w:r w:rsidR="00441EB1">
          <w:rPr>
            <w:noProof/>
            <w:webHidden/>
          </w:rPr>
          <w:instrText xml:space="preserve"> PAGEREF _Toc535854467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2C9F2762" w14:textId="01D87919" w:rsidR="00441EB1" w:rsidRDefault="00483705">
      <w:pPr>
        <w:pStyle w:val="Sommario5"/>
        <w:tabs>
          <w:tab w:val="left" w:pos="2082"/>
        </w:tabs>
        <w:rPr>
          <w:rFonts w:asciiTheme="minorHAnsi" w:eastAsiaTheme="minorEastAsia" w:hAnsiTheme="minorHAnsi" w:cstheme="minorBidi"/>
          <w:noProof/>
          <w:sz w:val="22"/>
          <w:szCs w:val="22"/>
          <w:lang w:eastAsia="it-IT"/>
        </w:rPr>
      </w:pPr>
      <w:hyperlink w:anchor="_Toc535854468" w:history="1">
        <w:r w:rsidR="00441EB1" w:rsidRPr="00456345">
          <w:rPr>
            <w:rStyle w:val="Collegamentoipertestuale"/>
            <w:rFonts w:ascii="Times New Roman" w:eastAsia="Times New Roman" w:hAnsi="Times New Roman"/>
            <w:b/>
            <w:noProof/>
          </w:rPr>
          <w:t>d)</w:t>
        </w:r>
        <w:r w:rsidR="00441EB1">
          <w:rPr>
            <w:rFonts w:asciiTheme="minorHAnsi" w:eastAsiaTheme="minorEastAsia" w:hAnsiTheme="minorHAnsi" w:cstheme="minorBidi"/>
            <w:noProof/>
            <w:sz w:val="22"/>
            <w:szCs w:val="22"/>
            <w:lang w:eastAsia="it-IT"/>
          </w:rPr>
          <w:tab/>
        </w:r>
        <w:r w:rsidR="00441EB1" w:rsidRPr="00456345">
          <w:rPr>
            <w:rStyle w:val="Collegamentoipertestuale"/>
            <w:rFonts w:ascii="Times New Roman" w:eastAsia="Times New Roman" w:hAnsi="Times New Roman"/>
            <w:b/>
            <w:noProof/>
          </w:rPr>
          <w:t>I segnali di allarme nelle modalità di partecipazione all’asta.</w:t>
        </w:r>
        <w:r w:rsidR="00441EB1">
          <w:rPr>
            <w:noProof/>
            <w:webHidden/>
          </w:rPr>
          <w:tab/>
        </w:r>
        <w:r w:rsidR="00441EB1">
          <w:rPr>
            <w:noProof/>
            <w:webHidden/>
          </w:rPr>
          <w:fldChar w:fldCharType="begin"/>
        </w:r>
        <w:r w:rsidR="00441EB1">
          <w:rPr>
            <w:noProof/>
            <w:webHidden/>
          </w:rPr>
          <w:instrText xml:space="preserve"> PAGEREF _Toc535854468 \h </w:instrText>
        </w:r>
        <w:r w:rsidR="00441EB1">
          <w:rPr>
            <w:noProof/>
            <w:webHidden/>
          </w:rPr>
        </w:r>
        <w:r w:rsidR="00441EB1">
          <w:rPr>
            <w:noProof/>
            <w:webHidden/>
          </w:rPr>
          <w:fldChar w:fldCharType="separate"/>
        </w:r>
        <w:r w:rsidR="00441EB1">
          <w:rPr>
            <w:noProof/>
            <w:webHidden/>
          </w:rPr>
          <w:t>57</w:t>
        </w:r>
        <w:r w:rsidR="00441EB1">
          <w:rPr>
            <w:noProof/>
            <w:webHidden/>
          </w:rPr>
          <w:fldChar w:fldCharType="end"/>
        </w:r>
      </w:hyperlink>
    </w:p>
    <w:p w14:paraId="70B6A90D" w14:textId="69C32459" w:rsidR="00441EB1" w:rsidRDefault="00483705">
      <w:pPr>
        <w:pStyle w:val="Sommario4"/>
        <w:rPr>
          <w:rFonts w:asciiTheme="minorHAnsi" w:eastAsiaTheme="minorEastAsia" w:hAnsiTheme="minorHAnsi" w:cstheme="minorBidi"/>
          <w:sz w:val="22"/>
          <w:szCs w:val="22"/>
        </w:rPr>
      </w:pPr>
      <w:hyperlink w:anchor="_Toc535854469" w:history="1">
        <w:r w:rsidR="00441EB1" w:rsidRPr="00456345">
          <w:rPr>
            <w:rStyle w:val="Collegamentoipertestuale"/>
            <w:b/>
          </w:rPr>
          <w:t>8.10.2</w:t>
        </w:r>
        <w:r w:rsidR="00441EB1" w:rsidRPr="00456345">
          <w:rPr>
            <w:rStyle w:val="Collegamentoipertestuale"/>
          </w:rPr>
          <w:t>.</w:t>
        </w:r>
        <w:r w:rsidR="00441EB1">
          <w:rPr>
            <w:rFonts w:asciiTheme="minorHAnsi" w:eastAsiaTheme="minorEastAsia" w:hAnsiTheme="minorHAnsi" w:cstheme="minorBidi"/>
            <w:sz w:val="22"/>
            <w:szCs w:val="22"/>
          </w:rPr>
          <w:tab/>
        </w:r>
        <w:r w:rsidR="00441EB1" w:rsidRPr="00456345">
          <w:rPr>
            <w:rStyle w:val="Collegamentoipertestuale"/>
            <w:b/>
          </w:rPr>
          <w:t>Il soggetto responsabile (RASA) dell’inserimento e dell’aggiornamento annuale degli elementi identificativi della stazione appaltante</w:t>
        </w:r>
        <w:r w:rsidR="00441EB1">
          <w:rPr>
            <w:webHidden/>
          </w:rPr>
          <w:tab/>
        </w:r>
        <w:r w:rsidR="00441EB1">
          <w:rPr>
            <w:webHidden/>
          </w:rPr>
          <w:fldChar w:fldCharType="begin"/>
        </w:r>
        <w:r w:rsidR="00441EB1">
          <w:rPr>
            <w:webHidden/>
          </w:rPr>
          <w:instrText xml:space="preserve"> PAGEREF _Toc535854469 \h </w:instrText>
        </w:r>
        <w:r w:rsidR="00441EB1">
          <w:rPr>
            <w:webHidden/>
          </w:rPr>
        </w:r>
        <w:r w:rsidR="00441EB1">
          <w:rPr>
            <w:webHidden/>
          </w:rPr>
          <w:fldChar w:fldCharType="separate"/>
        </w:r>
        <w:r w:rsidR="00441EB1">
          <w:rPr>
            <w:webHidden/>
          </w:rPr>
          <w:t>57</w:t>
        </w:r>
        <w:r w:rsidR="00441EB1">
          <w:rPr>
            <w:webHidden/>
          </w:rPr>
          <w:fldChar w:fldCharType="end"/>
        </w:r>
      </w:hyperlink>
    </w:p>
    <w:p w14:paraId="2A803862" w14:textId="3620762C" w:rsidR="00441EB1" w:rsidRDefault="00483705">
      <w:pPr>
        <w:pStyle w:val="Sommario3"/>
        <w:rPr>
          <w:rFonts w:asciiTheme="minorHAnsi" w:eastAsiaTheme="minorEastAsia" w:hAnsiTheme="minorHAnsi" w:cstheme="minorBidi"/>
          <w:i w:val="0"/>
          <w:iCs w:val="0"/>
          <w:sz w:val="22"/>
          <w:szCs w:val="22"/>
          <w:lang w:eastAsia="it-IT"/>
        </w:rPr>
      </w:pPr>
      <w:hyperlink w:anchor="_Toc535854470" w:history="1">
        <w:r w:rsidR="00441EB1" w:rsidRPr="00456345">
          <w:rPr>
            <w:rStyle w:val="Collegamentoipertestuale"/>
          </w:rPr>
          <w:t>8.11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reclutamento e le progressioni di carriera del personale</w:t>
        </w:r>
        <w:r w:rsidR="00441EB1">
          <w:rPr>
            <w:webHidden/>
          </w:rPr>
          <w:tab/>
        </w:r>
        <w:r w:rsidR="00441EB1">
          <w:rPr>
            <w:webHidden/>
          </w:rPr>
          <w:fldChar w:fldCharType="begin"/>
        </w:r>
        <w:r w:rsidR="00441EB1">
          <w:rPr>
            <w:webHidden/>
          </w:rPr>
          <w:instrText xml:space="preserve"> PAGEREF _Toc535854470 \h </w:instrText>
        </w:r>
        <w:r w:rsidR="00441EB1">
          <w:rPr>
            <w:webHidden/>
          </w:rPr>
        </w:r>
        <w:r w:rsidR="00441EB1">
          <w:rPr>
            <w:webHidden/>
          </w:rPr>
          <w:fldChar w:fldCharType="separate"/>
        </w:r>
        <w:r w:rsidR="00441EB1">
          <w:rPr>
            <w:webHidden/>
          </w:rPr>
          <w:t>59</w:t>
        </w:r>
        <w:r w:rsidR="00441EB1">
          <w:rPr>
            <w:webHidden/>
          </w:rPr>
          <w:fldChar w:fldCharType="end"/>
        </w:r>
      </w:hyperlink>
    </w:p>
    <w:p w14:paraId="13FFC75E" w14:textId="2234978D" w:rsidR="00441EB1" w:rsidRDefault="00483705">
      <w:pPr>
        <w:pStyle w:val="Sommario3"/>
        <w:rPr>
          <w:rFonts w:asciiTheme="minorHAnsi" w:eastAsiaTheme="minorEastAsia" w:hAnsiTheme="minorHAnsi" w:cstheme="minorBidi"/>
          <w:i w:val="0"/>
          <w:iCs w:val="0"/>
          <w:sz w:val="22"/>
          <w:szCs w:val="22"/>
          <w:lang w:eastAsia="it-IT"/>
        </w:rPr>
      </w:pPr>
      <w:hyperlink w:anchor="_Toc535854471" w:history="1">
        <w:r w:rsidR="00441EB1" w:rsidRPr="00456345">
          <w:rPr>
            <w:rStyle w:val="Collegamentoipertestuale"/>
          </w:rPr>
          <w:t>8.12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rispetto dei termini di conclusione dei procedimenti</w:t>
        </w:r>
        <w:r w:rsidR="00441EB1">
          <w:rPr>
            <w:webHidden/>
          </w:rPr>
          <w:tab/>
        </w:r>
        <w:r w:rsidR="00441EB1">
          <w:rPr>
            <w:webHidden/>
          </w:rPr>
          <w:fldChar w:fldCharType="begin"/>
        </w:r>
        <w:r w:rsidR="00441EB1">
          <w:rPr>
            <w:webHidden/>
          </w:rPr>
          <w:instrText xml:space="preserve"> PAGEREF _Toc535854471 \h </w:instrText>
        </w:r>
        <w:r w:rsidR="00441EB1">
          <w:rPr>
            <w:webHidden/>
          </w:rPr>
        </w:r>
        <w:r w:rsidR="00441EB1">
          <w:rPr>
            <w:webHidden/>
          </w:rPr>
          <w:fldChar w:fldCharType="separate"/>
        </w:r>
        <w:r w:rsidR="00441EB1">
          <w:rPr>
            <w:webHidden/>
          </w:rPr>
          <w:t>59</w:t>
        </w:r>
        <w:r w:rsidR="00441EB1">
          <w:rPr>
            <w:webHidden/>
          </w:rPr>
          <w:fldChar w:fldCharType="end"/>
        </w:r>
      </w:hyperlink>
    </w:p>
    <w:p w14:paraId="56902ABA" w14:textId="725A9CF1" w:rsidR="00441EB1" w:rsidRDefault="00483705">
      <w:pPr>
        <w:pStyle w:val="Sommario3"/>
        <w:rPr>
          <w:rFonts w:asciiTheme="minorHAnsi" w:eastAsiaTheme="minorEastAsia" w:hAnsiTheme="minorHAnsi" w:cstheme="minorBidi"/>
          <w:i w:val="0"/>
          <w:iCs w:val="0"/>
          <w:sz w:val="22"/>
          <w:szCs w:val="22"/>
          <w:lang w:eastAsia="it-IT"/>
        </w:rPr>
      </w:pPr>
      <w:hyperlink w:anchor="_Toc535854472" w:history="1">
        <w:r w:rsidR="00441EB1" w:rsidRPr="00456345">
          <w:rPr>
            <w:rStyle w:val="Collegamentoipertestuale"/>
          </w:rPr>
          <w:t>8.13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patti di integrità.</w:t>
        </w:r>
        <w:r w:rsidR="00441EB1">
          <w:rPr>
            <w:webHidden/>
          </w:rPr>
          <w:tab/>
        </w:r>
        <w:r w:rsidR="00441EB1">
          <w:rPr>
            <w:webHidden/>
          </w:rPr>
          <w:fldChar w:fldCharType="begin"/>
        </w:r>
        <w:r w:rsidR="00441EB1">
          <w:rPr>
            <w:webHidden/>
          </w:rPr>
          <w:instrText xml:space="preserve"> PAGEREF _Toc535854472 \h </w:instrText>
        </w:r>
        <w:r w:rsidR="00441EB1">
          <w:rPr>
            <w:webHidden/>
          </w:rPr>
        </w:r>
        <w:r w:rsidR="00441EB1">
          <w:rPr>
            <w:webHidden/>
          </w:rPr>
          <w:fldChar w:fldCharType="separate"/>
        </w:r>
        <w:r w:rsidR="00441EB1">
          <w:rPr>
            <w:webHidden/>
          </w:rPr>
          <w:t>59</w:t>
        </w:r>
        <w:r w:rsidR="00441EB1">
          <w:rPr>
            <w:webHidden/>
          </w:rPr>
          <w:fldChar w:fldCharType="end"/>
        </w:r>
      </w:hyperlink>
    </w:p>
    <w:p w14:paraId="73C409A5" w14:textId="40E72968" w:rsidR="00441EB1" w:rsidRDefault="00483705">
      <w:pPr>
        <w:pStyle w:val="Sommario3"/>
        <w:rPr>
          <w:rFonts w:asciiTheme="minorHAnsi" w:eastAsiaTheme="minorEastAsia" w:hAnsiTheme="minorHAnsi" w:cstheme="minorBidi"/>
          <w:i w:val="0"/>
          <w:iCs w:val="0"/>
          <w:sz w:val="22"/>
          <w:szCs w:val="22"/>
          <w:lang w:eastAsia="it-IT"/>
        </w:rPr>
      </w:pPr>
      <w:hyperlink w:anchor="_Toc535854473" w:history="1">
        <w:r w:rsidR="00441EB1" w:rsidRPr="00456345">
          <w:rPr>
            <w:rStyle w:val="Collegamentoipertestuale"/>
          </w:rPr>
          <w:t>8.14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monitoraggio dei rapporti tra la società e i soggetti che con essa stipulano contratti o siano destinatari di autorizzazioni o concessioni di vantaggi economici comunque denominati.</w:t>
        </w:r>
        <w:r w:rsidR="00441EB1">
          <w:rPr>
            <w:webHidden/>
          </w:rPr>
          <w:tab/>
        </w:r>
        <w:r w:rsidR="00441EB1">
          <w:rPr>
            <w:webHidden/>
          </w:rPr>
          <w:fldChar w:fldCharType="begin"/>
        </w:r>
        <w:r w:rsidR="00441EB1">
          <w:rPr>
            <w:webHidden/>
          </w:rPr>
          <w:instrText xml:space="preserve"> PAGEREF _Toc535854473 \h </w:instrText>
        </w:r>
        <w:r w:rsidR="00441EB1">
          <w:rPr>
            <w:webHidden/>
          </w:rPr>
        </w:r>
        <w:r w:rsidR="00441EB1">
          <w:rPr>
            <w:webHidden/>
          </w:rPr>
          <w:fldChar w:fldCharType="separate"/>
        </w:r>
        <w:r w:rsidR="00441EB1">
          <w:rPr>
            <w:webHidden/>
          </w:rPr>
          <w:t>60</w:t>
        </w:r>
        <w:r w:rsidR="00441EB1">
          <w:rPr>
            <w:webHidden/>
          </w:rPr>
          <w:fldChar w:fldCharType="end"/>
        </w:r>
      </w:hyperlink>
    </w:p>
    <w:p w14:paraId="42B2E43F" w14:textId="0770BB63" w:rsidR="00441EB1" w:rsidRDefault="00483705">
      <w:pPr>
        <w:pStyle w:val="Sommario3"/>
        <w:rPr>
          <w:rFonts w:asciiTheme="minorHAnsi" w:eastAsiaTheme="minorEastAsia" w:hAnsiTheme="minorHAnsi" w:cstheme="minorBidi"/>
          <w:i w:val="0"/>
          <w:iCs w:val="0"/>
          <w:sz w:val="22"/>
          <w:szCs w:val="22"/>
          <w:lang w:eastAsia="it-IT"/>
        </w:rPr>
      </w:pPr>
      <w:hyperlink w:anchor="_Toc535854474" w:history="1">
        <w:r w:rsidR="00441EB1" w:rsidRPr="00456345">
          <w:rPr>
            <w:rStyle w:val="Collegamentoipertestuale"/>
          </w:rPr>
          <w:t>8.15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misure ulteriori</w:t>
        </w:r>
        <w:r w:rsidR="00441EB1">
          <w:rPr>
            <w:webHidden/>
          </w:rPr>
          <w:tab/>
        </w:r>
        <w:r w:rsidR="00441EB1">
          <w:rPr>
            <w:webHidden/>
          </w:rPr>
          <w:fldChar w:fldCharType="begin"/>
        </w:r>
        <w:r w:rsidR="00441EB1">
          <w:rPr>
            <w:webHidden/>
          </w:rPr>
          <w:instrText xml:space="preserve"> PAGEREF _Toc535854474 \h </w:instrText>
        </w:r>
        <w:r w:rsidR="00441EB1">
          <w:rPr>
            <w:webHidden/>
          </w:rPr>
        </w:r>
        <w:r w:rsidR="00441EB1">
          <w:rPr>
            <w:webHidden/>
          </w:rPr>
          <w:fldChar w:fldCharType="separate"/>
        </w:r>
        <w:r w:rsidR="00441EB1">
          <w:rPr>
            <w:webHidden/>
          </w:rPr>
          <w:t>60</w:t>
        </w:r>
        <w:r w:rsidR="00441EB1">
          <w:rPr>
            <w:webHidden/>
          </w:rPr>
          <w:fldChar w:fldCharType="end"/>
        </w:r>
      </w:hyperlink>
    </w:p>
    <w:p w14:paraId="63EB0E8A" w14:textId="791A77EB" w:rsidR="00441EB1" w:rsidRDefault="00483705">
      <w:pPr>
        <w:pStyle w:val="Sommario2"/>
        <w:rPr>
          <w:rFonts w:asciiTheme="minorHAnsi" w:eastAsiaTheme="minorEastAsia" w:hAnsiTheme="minorHAnsi" w:cstheme="minorBidi"/>
          <w:smallCaps w:val="0"/>
          <w:noProof/>
          <w:sz w:val="22"/>
          <w:szCs w:val="22"/>
          <w:lang w:eastAsia="it-IT"/>
        </w:rPr>
      </w:pPr>
      <w:hyperlink w:anchor="_Toc535854475" w:history="1">
        <w:r w:rsidR="00441EB1" w:rsidRPr="00456345">
          <w:rPr>
            <w:rStyle w:val="Collegamentoipertestuale"/>
            <w:noProof/>
          </w:rPr>
          <w:t>9.</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Il monitoraggio</w:t>
        </w:r>
        <w:r w:rsidR="00441EB1">
          <w:rPr>
            <w:noProof/>
            <w:webHidden/>
          </w:rPr>
          <w:tab/>
        </w:r>
        <w:r w:rsidR="00441EB1">
          <w:rPr>
            <w:noProof/>
            <w:webHidden/>
          </w:rPr>
          <w:fldChar w:fldCharType="begin"/>
        </w:r>
        <w:r w:rsidR="00441EB1">
          <w:rPr>
            <w:noProof/>
            <w:webHidden/>
          </w:rPr>
          <w:instrText xml:space="preserve"> PAGEREF _Toc535854475 \h </w:instrText>
        </w:r>
        <w:r w:rsidR="00441EB1">
          <w:rPr>
            <w:noProof/>
            <w:webHidden/>
          </w:rPr>
        </w:r>
        <w:r w:rsidR="00441EB1">
          <w:rPr>
            <w:noProof/>
            <w:webHidden/>
          </w:rPr>
          <w:fldChar w:fldCharType="separate"/>
        </w:r>
        <w:r w:rsidR="00441EB1">
          <w:rPr>
            <w:noProof/>
            <w:webHidden/>
          </w:rPr>
          <w:t>60</w:t>
        </w:r>
        <w:r w:rsidR="00441EB1">
          <w:rPr>
            <w:noProof/>
            <w:webHidden/>
          </w:rPr>
          <w:fldChar w:fldCharType="end"/>
        </w:r>
      </w:hyperlink>
    </w:p>
    <w:p w14:paraId="4B99B32D" w14:textId="400F393A" w:rsidR="00441EB1" w:rsidRDefault="00483705">
      <w:pPr>
        <w:pStyle w:val="Sommario1"/>
        <w:rPr>
          <w:rFonts w:asciiTheme="minorHAnsi" w:eastAsiaTheme="minorEastAsia" w:hAnsiTheme="minorHAnsi" w:cstheme="minorBidi"/>
          <w:bCs w:val="0"/>
          <w:caps w:val="0"/>
          <w:smallCaps w:val="0"/>
          <w:sz w:val="22"/>
          <w:szCs w:val="22"/>
          <w:lang w:eastAsia="it-IT"/>
        </w:rPr>
      </w:pPr>
      <w:hyperlink w:anchor="_Toc535854476" w:history="1">
        <w:r w:rsidR="00441EB1" w:rsidRPr="00456345">
          <w:rPr>
            <w:rStyle w:val="Collegamentoipertestuale"/>
          </w:rPr>
          <w:t>Trasparenza</w:t>
        </w:r>
        <w:r w:rsidR="00441EB1">
          <w:rPr>
            <w:webHidden/>
          </w:rPr>
          <w:tab/>
        </w:r>
        <w:r w:rsidR="00441EB1">
          <w:rPr>
            <w:webHidden/>
          </w:rPr>
          <w:fldChar w:fldCharType="begin"/>
        </w:r>
        <w:r w:rsidR="00441EB1">
          <w:rPr>
            <w:webHidden/>
          </w:rPr>
          <w:instrText xml:space="preserve"> PAGEREF _Toc535854476 \h </w:instrText>
        </w:r>
        <w:r w:rsidR="00441EB1">
          <w:rPr>
            <w:webHidden/>
          </w:rPr>
        </w:r>
        <w:r w:rsidR="00441EB1">
          <w:rPr>
            <w:webHidden/>
          </w:rPr>
          <w:fldChar w:fldCharType="separate"/>
        </w:r>
        <w:r w:rsidR="00441EB1">
          <w:rPr>
            <w:webHidden/>
          </w:rPr>
          <w:t>63</w:t>
        </w:r>
        <w:r w:rsidR="00441EB1">
          <w:rPr>
            <w:webHidden/>
          </w:rPr>
          <w:fldChar w:fldCharType="end"/>
        </w:r>
      </w:hyperlink>
    </w:p>
    <w:p w14:paraId="627BA687" w14:textId="42B15F90" w:rsidR="00441EB1" w:rsidRDefault="00483705">
      <w:pPr>
        <w:pStyle w:val="Sommario2"/>
        <w:rPr>
          <w:rFonts w:asciiTheme="minorHAnsi" w:eastAsiaTheme="minorEastAsia" w:hAnsiTheme="minorHAnsi" w:cstheme="minorBidi"/>
          <w:smallCaps w:val="0"/>
          <w:noProof/>
          <w:sz w:val="22"/>
          <w:szCs w:val="22"/>
          <w:lang w:eastAsia="it-IT"/>
        </w:rPr>
      </w:pPr>
      <w:hyperlink w:anchor="_Toc535854477" w:history="1">
        <w:r w:rsidR="00441EB1" w:rsidRPr="00456345">
          <w:rPr>
            <w:rStyle w:val="Collegamentoipertestuale"/>
            <w:noProof/>
          </w:rPr>
          <w:t>1.</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 riferimenti normativi</w:t>
        </w:r>
        <w:r w:rsidR="00441EB1">
          <w:rPr>
            <w:noProof/>
            <w:webHidden/>
          </w:rPr>
          <w:tab/>
        </w:r>
        <w:r w:rsidR="00441EB1">
          <w:rPr>
            <w:noProof/>
            <w:webHidden/>
          </w:rPr>
          <w:fldChar w:fldCharType="begin"/>
        </w:r>
        <w:r w:rsidR="00441EB1">
          <w:rPr>
            <w:noProof/>
            <w:webHidden/>
          </w:rPr>
          <w:instrText xml:space="preserve"> PAGEREF _Toc535854477 \h </w:instrText>
        </w:r>
        <w:r w:rsidR="00441EB1">
          <w:rPr>
            <w:noProof/>
            <w:webHidden/>
          </w:rPr>
        </w:r>
        <w:r w:rsidR="00441EB1">
          <w:rPr>
            <w:noProof/>
            <w:webHidden/>
          </w:rPr>
          <w:fldChar w:fldCharType="separate"/>
        </w:r>
        <w:r w:rsidR="00441EB1">
          <w:rPr>
            <w:noProof/>
            <w:webHidden/>
          </w:rPr>
          <w:t>64</w:t>
        </w:r>
        <w:r w:rsidR="00441EB1">
          <w:rPr>
            <w:noProof/>
            <w:webHidden/>
          </w:rPr>
          <w:fldChar w:fldCharType="end"/>
        </w:r>
      </w:hyperlink>
    </w:p>
    <w:p w14:paraId="3CB07970" w14:textId="50AE4201" w:rsidR="00441EB1" w:rsidRDefault="00483705">
      <w:pPr>
        <w:pStyle w:val="Sommario2"/>
        <w:rPr>
          <w:rFonts w:asciiTheme="minorHAnsi" w:eastAsiaTheme="minorEastAsia" w:hAnsiTheme="minorHAnsi" w:cstheme="minorBidi"/>
          <w:smallCaps w:val="0"/>
          <w:noProof/>
          <w:sz w:val="22"/>
          <w:szCs w:val="22"/>
          <w:lang w:eastAsia="it-IT"/>
        </w:rPr>
      </w:pPr>
      <w:hyperlink w:anchor="_Toc535854478" w:history="1">
        <w:r w:rsidR="00441EB1" w:rsidRPr="00456345">
          <w:rPr>
            <w:rStyle w:val="Collegamentoipertestuale"/>
            <w:noProof/>
          </w:rPr>
          <w:t>2.</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 soggetti che concorrono all’attuazione delle norme</w:t>
        </w:r>
        <w:r w:rsidR="00441EB1">
          <w:rPr>
            <w:noProof/>
            <w:webHidden/>
          </w:rPr>
          <w:tab/>
        </w:r>
        <w:r w:rsidR="00441EB1">
          <w:rPr>
            <w:noProof/>
            <w:webHidden/>
          </w:rPr>
          <w:fldChar w:fldCharType="begin"/>
        </w:r>
        <w:r w:rsidR="00441EB1">
          <w:rPr>
            <w:noProof/>
            <w:webHidden/>
          </w:rPr>
          <w:instrText xml:space="preserve"> PAGEREF _Toc535854478 \h </w:instrText>
        </w:r>
        <w:r w:rsidR="00441EB1">
          <w:rPr>
            <w:noProof/>
            <w:webHidden/>
          </w:rPr>
        </w:r>
        <w:r w:rsidR="00441EB1">
          <w:rPr>
            <w:noProof/>
            <w:webHidden/>
          </w:rPr>
          <w:fldChar w:fldCharType="separate"/>
        </w:r>
        <w:r w:rsidR="00441EB1">
          <w:rPr>
            <w:noProof/>
            <w:webHidden/>
          </w:rPr>
          <w:t>64</w:t>
        </w:r>
        <w:r w:rsidR="00441EB1">
          <w:rPr>
            <w:noProof/>
            <w:webHidden/>
          </w:rPr>
          <w:fldChar w:fldCharType="end"/>
        </w:r>
      </w:hyperlink>
    </w:p>
    <w:p w14:paraId="592F82D8" w14:textId="6D4E4196" w:rsidR="00441EB1" w:rsidRDefault="00483705">
      <w:pPr>
        <w:pStyle w:val="Sommario3"/>
        <w:rPr>
          <w:rFonts w:asciiTheme="minorHAnsi" w:eastAsiaTheme="minorEastAsia" w:hAnsiTheme="minorHAnsi" w:cstheme="minorBidi"/>
          <w:i w:val="0"/>
          <w:iCs w:val="0"/>
          <w:sz w:val="22"/>
          <w:szCs w:val="22"/>
          <w:lang w:eastAsia="it-IT"/>
        </w:rPr>
      </w:pPr>
      <w:hyperlink w:anchor="_Toc535854479" w:history="1">
        <w:r w:rsidR="00441EB1" w:rsidRPr="00456345">
          <w:rPr>
            <w:rStyle w:val="Collegamentoipertestuale"/>
          </w:rPr>
          <w:t>2.1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RPCT</w:t>
        </w:r>
        <w:r w:rsidR="00441EB1">
          <w:rPr>
            <w:webHidden/>
          </w:rPr>
          <w:tab/>
        </w:r>
        <w:r w:rsidR="00441EB1">
          <w:rPr>
            <w:webHidden/>
          </w:rPr>
          <w:fldChar w:fldCharType="begin"/>
        </w:r>
        <w:r w:rsidR="00441EB1">
          <w:rPr>
            <w:webHidden/>
          </w:rPr>
          <w:instrText xml:space="preserve"> PAGEREF _Toc535854479 \h </w:instrText>
        </w:r>
        <w:r w:rsidR="00441EB1">
          <w:rPr>
            <w:webHidden/>
          </w:rPr>
        </w:r>
        <w:r w:rsidR="00441EB1">
          <w:rPr>
            <w:webHidden/>
          </w:rPr>
          <w:fldChar w:fldCharType="separate"/>
        </w:r>
        <w:r w:rsidR="00441EB1">
          <w:rPr>
            <w:webHidden/>
          </w:rPr>
          <w:t>64</w:t>
        </w:r>
        <w:r w:rsidR="00441EB1">
          <w:rPr>
            <w:webHidden/>
          </w:rPr>
          <w:fldChar w:fldCharType="end"/>
        </w:r>
      </w:hyperlink>
    </w:p>
    <w:p w14:paraId="0EBB8B69" w14:textId="23DFD05A" w:rsidR="00441EB1" w:rsidRDefault="00483705">
      <w:pPr>
        <w:pStyle w:val="Sommario3"/>
        <w:rPr>
          <w:rFonts w:asciiTheme="minorHAnsi" w:eastAsiaTheme="minorEastAsia" w:hAnsiTheme="minorHAnsi" w:cstheme="minorBidi"/>
          <w:i w:val="0"/>
          <w:iCs w:val="0"/>
          <w:sz w:val="22"/>
          <w:szCs w:val="22"/>
          <w:lang w:eastAsia="it-IT"/>
        </w:rPr>
      </w:pPr>
      <w:hyperlink w:anchor="_Toc535854480" w:history="1">
        <w:r w:rsidR="00441EB1" w:rsidRPr="00456345">
          <w:rPr>
            <w:rStyle w:val="Collegamentoipertestuale"/>
          </w:rPr>
          <w:t>2.2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Direttore ed i Responsabili di Struttura</w:t>
        </w:r>
        <w:r w:rsidR="00441EB1">
          <w:rPr>
            <w:webHidden/>
          </w:rPr>
          <w:tab/>
        </w:r>
        <w:r w:rsidR="00441EB1">
          <w:rPr>
            <w:webHidden/>
          </w:rPr>
          <w:fldChar w:fldCharType="begin"/>
        </w:r>
        <w:r w:rsidR="00441EB1">
          <w:rPr>
            <w:webHidden/>
          </w:rPr>
          <w:instrText xml:space="preserve"> PAGEREF _Toc535854480 \h </w:instrText>
        </w:r>
        <w:r w:rsidR="00441EB1">
          <w:rPr>
            <w:webHidden/>
          </w:rPr>
        </w:r>
        <w:r w:rsidR="00441EB1">
          <w:rPr>
            <w:webHidden/>
          </w:rPr>
          <w:fldChar w:fldCharType="separate"/>
        </w:r>
        <w:r w:rsidR="00441EB1">
          <w:rPr>
            <w:webHidden/>
          </w:rPr>
          <w:t>64</w:t>
        </w:r>
        <w:r w:rsidR="00441EB1">
          <w:rPr>
            <w:webHidden/>
          </w:rPr>
          <w:fldChar w:fldCharType="end"/>
        </w:r>
      </w:hyperlink>
    </w:p>
    <w:p w14:paraId="4BE0070C" w14:textId="29E544DE" w:rsidR="00441EB1" w:rsidRDefault="00483705">
      <w:pPr>
        <w:pStyle w:val="Sommario3"/>
        <w:rPr>
          <w:rFonts w:asciiTheme="minorHAnsi" w:eastAsiaTheme="minorEastAsia" w:hAnsiTheme="minorHAnsi" w:cstheme="minorBidi"/>
          <w:i w:val="0"/>
          <w:iCs w:val="0"/>
          <w:sz w:val="22"/>
          <w:szCs w:val="22"/>
          <w:lang w:eastAsia="it-IT"/>
        </w:rPr>
      </w:pPr>
      <w:hyperlink w:anchor="_Toc535854481" w:history="1">
        <w:r w:rsidR="00441EB1" w:rsidRPr="00456345">
          <w:rPr>
            <w:rStyle w:val="Collegamentoipertestuale"/>
          </w:rPr>
          <w:t>2.3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Responsabili della trasmissione dei dati ed i Responsabili della pubblicazione e dell’aggiornamento dei documenti, delle informazioni e dei dati.</w:t>
        </w:r>
        <w:r w:rsidR="00441EB1">
          <w:rPr>
            <w:webHidden/>
          </w:rPr>
          <w:tab/>
        </w:r>
        <w:r w:rsidR="00441EB1">
          <w:rPr>
            <w:webHidden/>
          </w:rPr>
          <w:fldChar w:fldCharType="begin"/>
        </w:r>
        <w:r w:rsidR="00441EB1">
          <w:rPr>
            <w:webHidden/>
          </w:rPr>
          <w:instrText xml:space="preserve"> PAGEREF _Toc535854481 \h </w:instrText>
        </w:r>
        <w:r w:rsidR="00441EB1">
          <w:rPr>
            <w:webHidden/>
          </w:rPr>
        </w:r>
        <w:r w:rsidR="00441EB1">
          <w:rPr>
            <w:webHidden/>
          </w:rPr>
          <w:fldChar w:fldCharType="separate"/>
        </w:r>
        <w:r w:rsidR="00441EB1">
          <w:rPr>
            <w:webHidden/>
          </w:rPr>
          <w:t>64</w:t>
        </w:r>
        <w:r w:rsidR="00441EB1">
          <w:rPr>
            <w:webHidden/>
          </w:rPr>
          <w:fldChar w:fldCharType="end"/>
        </w:r>
      </w:hyperlink>
    </w:p>
    <w:p w14:paraId="6C7B3145" w14:textId="2B021BC2" w:rsidR="00441EB1" w:rsidRDefault="00483705">
      <w:pPr>
        <w:pStyle w:val="Sommario3"/>
        <w:rPr>
          <w:rFonts w:asciiTheme="minorHAnsi" w:eastAsiaTheme="minorEastAsia" w:hAnsiTheme="minorHAnsi" w:cstheme="minorBidi"/>
          <w:i w:val="0"/>
          <w:iCs w:val="0"/>
          <w:sz w:val="22"/>
          <w:szCs w:val="22"/>
          <w:lang w:eastAsia="it-IT"/>
        </w:rPr>
      </w:pPr>
      <w:hyperlink w:anchor="_Toc535854482" w:history="1">
        <w:r w:rsidR="00441EB1" w:rsidRPr="00456345">
          <w:rPr>
            <w:rStyle w:val="Collegamentoipertestuale"/>
          </w:rPr>
          <w:t>2.4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dipendenti.</w:t>
        </w:r>
        <w:r w:rsidR="00441EB1">
          <w:rPr>
            <w:webHidden/>
          </w:rPr>
          <w:tab/>
        </w:r>
        <w:r w:rsidR="00441EB1">
          <w:rPr>
            <w:webHidden/>
          </w:rPr>
          <w:fldChar w:fldCharType="begin"/>
        </w:r>
        <w:r w:rsidR="00441EB1">
          <w:rPr>
            <w:webHidden/>
          </w:rPr>
          <w:instrText xml:space="preserve"> PAGEREF _Toc535854482 \h </w:instrText>
        </w:r>
        <w:r w:rsidR="00441EB1">
          <w:rPr>
            <w:webHidden/>
          </w:rPr>
        </w:r>
        <w:r w:rsidR="00441EB1">
          <w:rPr>
            <w:webHidden/>
          </w:rPr>
          <w:fldChar w:fldCharType="separate"/>
        </w:r>
        <w:r w:rsidR="00441EB1">
          <w:rPr>
            <w:webHidden/>
          </w:rPr>
          <w:t>65</w:t>
        </w:r>
        <w:r w:rsidR="00441EB1">
          <w:rPr>
            <w:webHidden/>
          </w:rPr>
          <w:fldChar w:fldCharType="end"/>
        </w:r>
      </w:hyperlink>
    </w:p>
    <w:p w14:paraId="4D1E2312" w14:textId="7E3323D7" w:rsidR="00441EB1" w:rsidRDefault="00483705">
      <w:pPr>
        <w:pStyle w:val="Sommario2"/>
        <w:rPr>
          <w:rFonts w:asciiTheme="minorHAnsi" w:eastAsiaTheme="minorEastAsia" w:hAnsiTheme="minorHAnsi" w:cstheme="minorBidi"/>
          <w:smallCaps w:val="0"/>
          <w:noProof/>
          <w:sz w:val="22"/>
          <w:szCs w:val="22"/>
          <w:lang w:eastAsia="it-IT"/>
        </w:rPr>
      </w:pPr>
      <w:hyperlink w:anchor="_Toc535854483" w:history="1">
        <w:r w:rsidR="00441EB1" w:rsidRPr="00456345">
          <w:rPr>
            <w:rStyle w:val="Collegamentoipertestuale"/>
            <w:noProof/>
          </w:rPr>
          <w:t>3.</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L’attuazione degli obblighi di pubblicità, trasparenza e diffusione delle informazioni</w:t>
        </w:r>
        <w:r w:rsidR="00441EB1">
          <w:rPr>
            <w:noProof/>
            <w:webHidden/>
          </w:rPr>
          <w:tab/>
        </w:r>
        <w:r w:rsidR="00441EB1">
          <w:rPr>
            <w:noProof/>
            <w:webHidden/>
          </w:rPr>
          <w:fldChar w:fldCharType="begin"/>
        </w:r>
        <w:r w:rsidR="00441EB1">
          <w:rPr>
            <w:noProof/>
            <w:webHidden/>
          </w:rPr>
          <w:instrText xml:space="preserve"> PAGEREF _Toc535854483 \h </w:instrText>
        </w:r>
        <w:r w:rsidR="00441EB1">
          <w:rPr>
            <w:noProof/>
            <w:webHidden/>
          </w:rPr>
        </w:r>
        <w:r w:rsidR="00441EB1">
          <w:rPr>
            <w:noProof/>
            <w:webHidden/>
          </w:rPr>
          <w:fldChar w:fldCharType="separate"/>
        </w:r>
        <w:r w:rsidR="00441EB1">
          <w:rPr>
            <w:noProof/>
            <w:webHidden/>
          </w:rPr>
          <w:t>65</w:t>
        </w:r>
        <w:r w:rsidR="00441EB1">
          <w:rPr>
            <w:noProof/>
            <w:webHidden/>
          </w:rPr>
          <w:fldChar w:fldCharType="end"/>
        </w:r>
      </w:hyperlink>
    </w:p>
    <w:p w14:paraId="18343EE3" w14:textId="571D4887" w:rsidR="00441EB1" w:rsidRDefault="00483705">
      <w:pPr>
        <w:pStyle w:val="Sommario3"/>
        <w:rPr>
          <w:rFonts w:asciiTheme="minorHAnsi" w:eastAsiaTheme="minorEastAsia" w:hAnsiTheme="minorHAnsi" w:cstheme="minorBidi"/>
          <w:i w:val="0"/>
          <w:iCs w:val="0"/>
          <w:sz w:val="22"/>
          <w:szCs w:val="22"/>
          <w:lang w:eastAsia="it-IT"/>
        </w:rPr>
      </w:pPr>
      <w:hyperlink w:anchor="_Toc535854484" w:history="1">
        <w:r w:rsidR="00441EB1" w:rsidRPr="00456345">
          <w:rPr>
            <w:rStyle w:val="Collegamentoipertestuale"/>
          </w:rPr>
          <w:t>3.1</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Il processo di attuazione del Programma: misure organizzative per la pubblicazione degli obblighi di trasparenza</w:t>
        </w:r>
        <w:r w:rsidR="00441EB1">
          <w:rPr>
            <w:webHidden/>
          </w:rPr>
          <w:tab/>
        </w:r>
        <w:r w:rsidR="00441EB1">
          <w:rPr>
            <w:webHidden/>
          </w:rPr>
          <w:fldChar w:fldCharType="begin"/>
        </w:r>
        <w:r w:rsidR="00441EB1">
          <w:rPr>
            <w:webHidden/>
          </w:rPr>
          <w:instrText xml:space="preserve"> PAGEREF _Toc535854484 \h </w:instrText>
        </w:r>
        <w:r w:rsidR="00441EB1">
          <w:rPr>
            <w:webHidden/>
          </w:rPr>
        </w:r>
        <w:r w:rsidR="00441EB1">
          <w:rPr>
            <w:webHidden/>
          </w:rPr>
          <w:fldChar w:fldCharType="separate"/>
        </w:r>
        <w:r w:rsidR="00441EB1">
          <w:rPr>
            <w:webHidden/>
          </w:rPr>
          <w:t>65</w:t>
        </w:r>
        <w:r w:rsidR="00441EB1">
          <w:rPr>
            <w:webHidden/>
          </w:rPr>
          <w:fldChar w:fldCharType="end"/>
        </w:r>
      </w:hyperlink>
    </w:p>
    <w:p w14:paraId="275D39AC" w14:textId="005C46B5" w:rsidR="00441EB1" w:rsidRDefault="00483705">
      <w:pPr>
        <w:pStyle w:val="Sommario3"/>
        <w:rPr>
          <w:rFonts w:asciiTheme="minorHAnsi" w:eastAsiaTheme="minorEastAsia" w:hAnsiTheme="minorHAnsi" w:cstheme="minorBidi"/>
          <w:i w:val="0"/>
          <w:iCs w:val="0"/>
          <w:sz w:val="22"/>
          <w:szCs w:val="22"/>
          <w:lang w:eastAsia="it-IT"/>
        </w:rPr>
      </w:pPr>
      <w:hyperlink w:anchor="_Toc535854485" w:history="1">
        <w:r w:rsidR="00441EB1" w:rsidRPr="00456345">
          <w:rPr>
            <w:rStyle w:val="Collegamentoipertestuale"/>
          </w:rPr>
          <w:t>3.2</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misure di monitoraggio e di vigilanza sull’attuazione degli obblighi di trasparenza a supporto dell’attività di controllo dell’adempimento da parte del RPCT</w:t>
        </w:r>
        <w:r w:rsidR="00441EB1">
          <w:rPr>
            <w:webHidden/>
          </w:rPr>
          <w:tab/>
        </w:r>
        <w:r w:rsidR="00441EB1">
          <w:rPr>
            <w:webHidden/>
          </w:rPr>
          <w:fldChar w:fldCharType="begin"/>
        </w:r>
        <w:r w:rsidR="00441EB1">
          <w:rPr>
            <w:webHidden/>
          </w:rPr>
          <w:instrText xml:space="preserve"> PAGEREF _Toc535854485 \h </w:instrText>
        </w:r>
        <w:r w:rsidR="00441EB1">
          <w:rPr>
            <w:webHidden/>
          </w:rPr>
        </w:r>
        <w:r w:rsidR="00441EB1">
          <w:rPr>
            <w:webHidden/>
          </w:rPr>
          <w:fldChar w:fldCharType="separate"/>
        </w:r>
        <w:r w:rsidR="00441EB1">
          <w:rPr>
            <w:webHidden/>
          </w:rPr>
          <w:t>65</w:t>
        </w:r>
        <w:r w:rsidR="00441EB1">
          <w:rPr>
            <w:webHidden/>
          </w:rPr>
          <w:fldChar w:fldCharType="end"/>
        </w:r>
      </w:hyperlink>
    </w:p>
    <w:p w14:paraId="3E7A3F98" w14:textId="56BC0D5F" w:rsidR="00441EB1" w:rsidRDefault="00483705">
      <w:pPr>
        <w:pStyle w:val="Sommario3"/>
        <w:rPr>
          <w:rFonts w:asciiTheme="minorHAnsi" w:eastAsiaTheme="minorEastAsia" w:hAnsiTheme="minorHAnsi" w:cstheme="minorBidi"/>
          <w:i w:val="0"/>
          <w:iCs w:val="0"/>
          <w:sz w:val="22"/>
          <w:szCs w:val="22"/>
          <w:lang w:eastAsia="it-IT"/>
        </w:rPr>
      </w:pPr>
      <w:hyperlink w:anchor="_Toc535854486" w:history="1">
        <w:r w:rsidR="00441EB1" w:rsidRPr="00456345">
          <w:rPr>
            <w:rStyle w:val="Collegamentoipertestuale"/>
          </w:rPr>
          <w:t>3.3</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 sistema delle sanzioni</w:t>
        </w:r>
        <w:r w:rsidR="00441EB1">
          <w:rPr>
            <w:webHidden/>
          </w:rPr>
          <w:tab/>
        </w:r>
        <w:r w:rsidR="00441EB1">
          <w:rPr>
            <w:webHidden/>
          </w:rPr>
          <w:fldChar w:fldCharType="begin"/>
        </w:r>
        <w:r w:rsidR="00441EB1">
          <w:rPr>
            <w:webHidden/>
          </w:rPr>
          <w:instrText xml:space="preserve"> PAGEREF _Toc535854486 \h </w:instrText>
        </w:r>
        <w:r w:rsidR="00441EB1">
          <w:rPr>
            <w:webHidden/>
          </w:rPr>
        </w:r>
        <w:r w:rsidR="00441EB1">
          <w:rPr>
            <w:webHidden/>
          </w:rPr>
          <w:fldChar w:fldCharType="separate"/>
        </w:r>
        <w:r w:rsidR="00441EB1">
          <w:rPr>
            <w:webHidden/>
          </w:rPr>
          <w:t>66</w:t>
        </w:r>
        <w:r w:rsidR="00441EB1">
          <w:rPr>
            <w:webHidden/>
          </w:rPr>
          <w:fldChar w:fldCharType="end"/>
        </w:r>
      </w:hyperlink>
    </w:p>
    <w:p w14:paraId="72E68853" w14:textId="32E073C3" w:rsidR="00441EB1" w:rsidRDefault="00483705">
      <w:pPr>
        <w:pStyle w:val="Sommario3"/>
        <w:rPr>
          <w:rFonts w:asciiTheme="minorHAnsi" w:eastAsiaTheme="minorEastAsia" w:hAnsiTheme="minorHAnsi" w:cstheme="minorBidi"/>
          <w:i w:val="0"/>
          <w:iCs w:val="0"/>
          <w:sz w:val="22"/>
          <w:szCs w:val="22"/>
          <w:lang w:eastAsia="it-IT"/>
        </w:rPr>
      </w:pPr>
      <w:hyperlink w:anchor="_Toc535854487" w:history="1">
        <w:r w:rsidR="00441EB1" w:rsidRPr="00456345">
          <w:rPr>
            <w:rStyle w:val="Collegamentoipertestuale"/>
          </w:rPr>
          <w:t>3.4</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I siti web aziendali</w:t>
        </w:r>
        <w:r w:rsidR="00441EB1">
          <w:rPr>
            <w:webHidden/>
          </w:rPr>
          <w:tab/>
        </w:r>
        <w:r w:rsidR="00441EB1">
          <w:rPr>
            <w:webHidden/>
          </w:rPr>
          <w:fldChar w:fldCharType="begin"/>
        </w:r>
        <w:r w:rsidR="00441EB1">
          <w:rPr>
            <w:webHidden/>
          </w:rPr>
          <w:instrText xml:space="preserve"> PAGEREF _Toc535854487 \h </w:instrText>
        </w:r>
        <w:r w:rsidR="00441EB1">
          <w:rPr>
            <w:webHidden/>
          </w:rPr>
        </w:r>
        <w:r w:rsidR="00441EB1">
          <w:rPr>
            <w:webHidden/>
          </w:rPr>
          <w:fldChar w:fldCharType="separate"/>
        </w:r>
        <w:r w:rsidR="00441EB1">
          <w:rPr>
            <w:webHidden/>
          </w:rPr>
          <w:t>67</w:t>
        </w:r>
        <w:r w:rsidR="00441EB1">
          <w:rPr>
            <w:webHidden/>
          </w:rPr>
          <w:fldChar w:fldCharType="end"/>
        </w:r>
      </w:hyperlink>
    </w:p>
    <w:p w14:paraId="1108DDC1" w14:textId="24BBBF1D" w:rsidR="00441EB1" w:rsidRDefault="00483705">
      <w:pPr>
        <w:pStyle w:val="Sommario3"/>
        <w:rPr>
          <w:rFonts w:asciiTheme="minorHAnsi" w:eastAsiaTheme="minorEastAsia" w:hAnsiTheme="minorHAnsi" w:cstheme="minorBidi"/>
          <w:i w:val="0"/>
          <w:iCs w:val="0"/>
          <w:sz w:val="22"/>
          <w:szCs w:val="22"/>
          <w:lang w:eastAsia="it-IT"/>
        </w:rPr>
      </w:pPr>
      <w:hyperlink w:anchor="_Toc535854488" w:history="1">
        <w:r w:rsidR="00441EB1" w:rsidRPr="00456345">
          <w:rPr>
            <w:rStyle w:val="Collegamentoipertestuale"/>
          </w:rPr>
          <w:t>3.5</w:t>
        </w:r>
        <w:r w:rsidR="00441EB1">
          <w:rPr>
            <w:rFonts w:asciiTheme="minorHAnsi" w:eastAsiaTheme="minorEastAsia" w:hAnsiTheme="minorHAnsi" w:cstheme="minorBidi"/>
            <w:i w:val="0"/>
            <w:iCs w:val="0"/>
            <w:sz w:val="22"/>
            <w:szCs w:val="22"/>
            <w:lang w:eastAsia="it-IT"/>
          </w:rPr>
          <w:tab/>
        </w:r>
        <w:r w:rsidR="00441EB1" w:rsidRPr="00456345">
          <w:rPr>
            <w:rStyle w:val="Collegamentoipertestuale"/>
          </w:rPr>
          <w:t>Le caratteristiche delle informazioni</w:t>
        </w:r>
        <w:r w:rsidR="00441EB1">
          <w:rPr>
            <w:webHidden/>
          </w:rPr>
          <w:tab/>
        </w:r>
        <w:r w:rsidR="00441EB1">
          <w:rPr>
            <w:webHidden/>
          </w:rPr>
          <w:fldChar w:fldCharType="begin"/>
        </w:r>
        <w:r w:rsidR="00441EB1">
          <w:rPr>
            <w:webHidden/>
          </w:rPr>
          <w:instrText xml:space="preserve"> PAGEREF _Toc535854488 \h </w:instrText>
        </w:r>
        <w:r w:rsidR="00441EB1">
          <w:rPr>
            <w:webHidden/>
          </w:rPr>
        </w:r>
        <w:r w:rsidR="00441EB1">
          <w:rPr>
            <w:webHidden/>
          </w:rPr>
          <w:fldChar w:fldCharType="separate"/>
        </w:r>
        <w:r w:rsidR="00441EB1">
          <w:rPr>
            <w:webHidden/>
          </w:rPr>
          <w:t>67</w:t>
        </w:r>
        <w:r w:rsidR="00441EB1">
          <w:rPr>
            <w:webHidden/>
          </w:rPr>
          <w:fldChar w:fldCharType="end"/>
        </w:r>
      </w:hyperlink>
    </w:p>
    <w:p w14:paraId="1C2FE37F" w14:textId="5A05573C" w:rsidR="00441EB1" w:rsidRDefault="00483705">
      <w:pPr>
        <w:pStyle w:val="Sommario2"/>
        <w:rPr>
          <w:rFonts w:asciiTheme="minorHAnsi" w:eastAsiaTheme="minorEastAsia" w:hAnsiTheme="minorHAnsi" w:cstheme="minorBidi"/>
          <w:smallCaps w:val="0"/>
          <w:noProof/>
          <w:sz w:val="22"/>
          <w:szCs w:val="22"/>
          <w:lang w:eastAsia="it-IT"/>
        </w:rPr>
      </w:pPr>
      <w:hyperlink w:anchor="_Toc535854489" w:history="1">
        <w:r w:rsidR="00441EB1" w:rsidRPr="00456345">
          <w:rPr>
            <w:rStyle w:val="Collegamentoipertestuale"/>
            <w:noProof/>
          </w:rPr>
          <w:t>4.</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 xml:space="preserve">Gli </w:t>
        </w:r>
        <w:r w:rsidR="00441EB1" w:rsidRPr="00456345">
          <w:rPr>
            <w:rStyle w:val="Collegamentoipertestuale"/>
            <w:noProof/>
            <w:kern w:val="32"/>
          </w:rPr>
          <w:t>ulteriori</w:t>
        </w:r>
        <w:r w:rsidR="00441EB1" w:rsidRPr="00456345">
          <w:rPr>
            <w:rStyle w:val="Collegamentoipertestuale"/>
            <w:noProof/>
          </w:rPr>
          <w:t xml:space="preserve"> obblighi di pubblicazione</w:t>
        </w:r>
        <w:r w:rsidR="00441EB1">
          <w:rPr>
            <w:noProof/>
            <w:webHidden/>
          </w:rPr>
          <w:tab/>
        </w:r>
        <w:r w:rsidR="00441EB1">
          <w:rPr>
            <w:noProof/>
            <w:webHidden/>
          </w:rPr>
          <w:fldChar w:fldCharType="begin"/>
        </w:r>
        <w:r w:rsidR="00441EB1">
          <w:rPr>
            <w:noProof/>
            <w:webHidden/>
          </w:rPr>
          <w:instrText xml:space="preserve"> PAGEREF _Toc535854489 \h </w:instrText>
        </w:r>
        <w:r w:rsidR="00441EB1">
          <w:rPr>
            <w:noProof/>
            <w:webHidden/>
          </w:rPr>
        </w:r>
        <w:r w:rsidR="00441EB1">
          <w:rPr>
            <w:noProof/>
            <w:webHidden/>
          </w:rPr>
          <w:fldChar w:fldCharType="separate"/>
        </w:r>
        <w:r w:rsidR="00441EB1">
          <w:rPr>
            <w:noProof/>
            <w:webHidden/>
          </w:rPr>
          <w:t>67</w:t>
        </w:r>
        <w:r w:rsidR="00441EB1">
          <w:rPr>
            <w:noProof/>
            <w:webHidden/>
          </w:rPr>
          <w:fldChar w:fldCharType="end"/>
        </w:r>
      </w:hyperlink>
    </w:p>
    <w:p w14:paraId="74374352" w14:textId="6E93C50A" w:rsidR="00441EB1" w:rsidRDefault="00483705">
      <w:pPr>
        <w:pStyle w:val="Sommario2"/>
        <w:rPr>
          <w:rFonts w:asciiTheme="minorHAnsi" w:eastAsiaTheme="minorEastAsia" w:hAnsiTheme="minorHAnsi" w:cstheme="minorBidi"/>
          <w:smallCaps w:val="0"/>
          <w:noProof/>
          <w:sz w:val="22"/>
          <w:szCs w:val="22"/>
          <w:lang w:eastAsia="it-IT"/>
        </w:rPr>
      </w:pPr>
      <w:hyperlink w:anchor="_Toc535854490" w:history="1">
        <w:r w:rsidR="00441EB1" w:rsidRPr="00456345">
          <w:rPr>
            <w:rStyle w:val="Collegamentoipertestuale"/>
            <w:noProof/>
          </w:rPr>
          <w:t>5.</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Privacy</w:t>
        </w:r>
        <w:r w:rsidR="00441EB1">
          <w:rPr>
            <w:noProof/>
            <w:webHidden/>
          </w:rPr>
          <w:tab/>
        </w:r>
        <w:r w:rsidR="00441EB1">
          <w:rPr>
            <w:noProof/>
            <w:webHidden/>
          </w:rPr>
          <w:fldChar w:fldCharType="begin"/>
        </w:r>
        <w:r w:rsidR="00441EB1">
          <w:rPr>
            <w:noProof/>
            <w:webHidden/>
          </w:rPr>
          <w:instrText xml:space="preserve"> PAGEREF _Toc535854490 \h </w:instrText>
        </w:r>
        <w:r w:rsidR="00441EB1">
          <w:rPr>
            <w:noProof/>
            <w:webHidden/>
          </w:rPr>
        </w:r>
        <w:r w:rsidR="00441EB1">
          <w:rPr>
            <w:noProof/>
            <w:webHidden/>
          </w:rPr>
          <w:fldChar w:fldCharType="separate"/>
        </w:r>
        <w:r w:rsidR="00441EB1">
          <w:rPr>
            <w:noProof/>
            <w:webHidden/>
          </w:rPr>
          <w:t>68</w:t>
        </w:r>
        <w:r w:rsidR="00441EB1">
          <w:rPr>
            <w:noProof/>
            <w:webHidden/>
          </w:rPr>
          <w:fldChar w:fldCharType="end"/>
        </w:r>
      </w:hyperlink>
    </w:p>
    <w:p w14:paraId="071E85DF" w14:textId="2CBC7F55" w:rsidR="00441EB1" w:rsidRDefault="00483705">
      <w:pPr>
        <w:pStyle w:val="Sommario2"/>
        <w:rPr>
          <w:rFonts w:asciiTheme="minorHAnsi" w:eastAsiaTheme="minorEastAsia" w:hAnsiTheme="minorHAnsi" w:cstheme="minorBidi"/>
          <w:smallCaps w:val="0"/>
          <w:noProof/>
          <w:sz w:val="22"/>
          <w:szCs w:val="22"/>
          <w:lang w:eastAsia="it-IT"/>
        </w:rPr>
      </w:pPr>
      <w:hyperlink w:anchor="_Toc535854491" w:history="1">
        <w:r w:rsidR="00441EB1" w:rsidRPr="00456345">
          <w:rPr>
            <w:rStyle w:val="Collegamentoipertestuale"/>
            <w:noProof/>
          </w:rPr>
          <w:t>6.</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I collegamenti con il Piano della performance</w:t>
        </w:r>
        <w:r w:rsidR="00441EB1">
          <w:rPr>
            <w:noProof/>
            <w:webHidden/>
          </w:rPr>
          <w:tab/>
        </w:r>
        <w:r w:rsidR="00441EB1">
          <w:rPr>
            <w:noProof/>
            <w:webHidden/>
          </w:rPr>
          <w:fldChar w:fldCharType="begin"/>
        </w:r>
        <w:r w:rsidR="00441EB1">
          <w:rPr>
            <w:noProof/>
            <w:webHidden/>
          </w:rPr>
          <w:instrText xml:space="preserve"> PAGEREF _Toc535854491 \h </w:instrText>
        </w:r>
        <w:r w:rsidR="00441EB1">
          <w:rPr>
            <w:noProof/>
            <w:webHidden/>
          </w:rPr>
        </w:r>
        <w:r w:rsidR="00441EB1">
          <w:rPr>
            <w:noProof/>
            <w:webHidden/>
          </w:rPr>
          <w:fldChar w:fldCharType="separate"/>
        </w:r>
        <w:r w:rsidR="00441EB1">
          <w:rPr>
            <w:noProof/>
            <w:webHidden/>
          </w:rPr>
          <w:t>68</w:t>
        </w:r>
        <w:r w:rsidR="00441EB1">
          <w:rPr>
            <w:noProof/>
            <w:webHidden/>
          </w:rPr>
          <w:fldChar w:fldCharType="end"/>
        </w:r>
      </w:hyperlink>
    </w:p>
    <w:p w14:paraId="390270D6" w14:textId="4F149FED" w:rsidR="00441EB1" w:rsidRDefault="00483705">
      <w:pPr>
        <w:pStyle w:val="Sommario2"/>
        <w:rPr>
          <w:rFonts w:asciiTheme="minorHAnsi" w:eastAsiaTheme="minorEastAsia" w:hAnsiTheme="minorHAnsi" w:cstheme="minorBidi"/>
          <w:smallCaps w:val="0"/>
          <w:noProof/>
          <w:sz w:val="22"/>
          <w:szCs w:val="22"/>
          <w:lang w:eastAsia="it-IT"/>
        </w:rPr>
      </w:pPr>
      <w:hyperlink w:anchor="_Toc535854492" w:history="1">
        <w:r w:rsidR="00441EB1" w:rsidRPr="00456345">
          <w:rPr>
            <w:rStyle w:val="Collegamentoipertestuale"/>
            <w:noProof/>
          </w:rPr>
          <w:t>7.</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Regolamento sull’accesso agli atti e documenti aziendali</w:t>
        </w:r>
        <w:r w:rsidR="00441EB1">
          <w:rPr>
            <w:noProof/>
            <w:webHidden/>
          </w:rPr>
          <w:tab/>
        </w:r>
        <w:r w:rsidR="00441EB1">
          <w:rPr>
            <w:noProof/>
            <w:webHidden/>
          </w:rPr>
          <w:fldChar w:fldCharType="begin"/>
        </w:r>
        <w:r w:rsidR="00441EB1">
          <w:rPr>
            <w:noProof/>
            <w:webHidden/>
          </w:rPr>
          <w:instrText xml:space="preserve"> PAGEREF _Toc535854492 \h </w:instrText>
        </w:r>
        <w:r w:rsidR="00441EB1">
          <w:rPr>
            <w:noProof/>
            <w:webHidden/>
          </w:rPr>
        </w:r>
        <w:r w:rsidR="00441EB1">
          <w:rPr>
            <w:noProof/>
            <w:webHidden/>
          </w:rPr>
          <w:fldChar w:fldCharType="separate"/>
        </w:r>
        <w:r w:rsidR="00441EB1">
          <w:rPr>
            <w:noProof/>
            <w:webHidden/>
          </w:rPr>
          <w:t>69</w:t>
        </w:r>
        <w:r w:rsidR="00441EB1">
          <w:rPr>
            <w:noProof/>
            <w:webHidden/>
          </w:rPr>
          <w:fldChar w:fldCharType="end"/>
        </w:r>
      </w:hyperlink>
    </w:p>
    <w:p w14:paraId="2DAF9DC1" w14:textId="3CA113A7" w:rsidR="00441EB1" w:rsidRDefault="00483705">
      <w:pPr>
        <w:pStyle w:val="Sommario2"/>
        <w:rPr>
          <w:rFonts w:asciiTheme="minorHAnsi" w:eastAsiaTheme="minorEastAsia" w:hAnsiTheme="minorHAnsi" w:cstheme="minorBidi"/>
          <w:smallCaps w:val="0"/>
          <w:noProof/>
          <w:sz w:val="22"/>
          <w:szCs w:val="22"/>
          <w:lang w:eastAsia="it-IT"/>
        </w:rPr>
      </w:pPr>
      <w:hyperlink w:anchor="_Toc535854493" w:history="1">
        <w:r w:rsidR="00441EB1" w:rsidRPr="00456345">
          <w:rPr>
            <w:rStyle w:val="Collegamentoipertestuale"/>
            <w:noProof/>
          </w:rPr>
          <w:t>8.</w:t>
        </w:r>
        <w:r w:rsidR="00441EB1">
          <w:rPr>
            <w:rFonts w:asciiTheme="minorHAnsi" w:eastAsiaTheme="minorEastAsia" w:hAnsiTheme="minorHAnsi" w:cstheme="minorBidi"/>
            <w:smallCaps w:val="0"/>
            <w:noProof/>
            <w:sz w:val="22"/>
            <w:szCs w:val="22"/>
            <w:lang w:eastAsia="it-IT"/>
          </w:rPr>
          <w:tab/>
        </w:r>
        <w:r w:rsidR="00441EB1" w:rsidRPr="00456345">
          <w:rPr>
            <w:rStyle w:val="Collegamentoipertestuale"/>
            <w:noProof/>
          </w:rPr>
          <w:t>Le giornate della trasparenza</w:t>
        </w:r>
        <w:r w:rsidR="00441EB1">
          <w:rPr>
            <w:noProof/>
            <w:webHidden/>
          </w:rPr>
          <w:tab/>
        </w:r>
        <w:r w:rsidR="00441EB1">
          <w:rPr>
            <w:noProof/>
            <w:webHidden/>
          </w:rPr>
          <w:fldChar w:fldCharType="begin"/>
        </w:r>
        <w:r w:rsidR="00441EB1">
          <w:rPr>
            <w:noProof/>
            <w:webHidden/>
          </w:rPr>
          <w:instrText xml:space="preserve"> PAGEREF _Toc535854493 \h </w:instrText>
        </w:r>
        <w:r w:rsidR="00441EB1">
          <w:rPr>
            <w:noProof/>
            <w:webHidden/>
          </w:rPr>
        </w:r>
        <w:r w:rsidR="00441EB1">
          <w:rPr>
            <w:noProof/>
            <w:webHidden/>
          </w:rPr>
          <w:fldChar w:fldCharType="separate"/>
        </w:r>
        <w:r w:rsidR="00441EB1">
          <w:rPr>
            <w:noProof/>
            <w:webHidden/>
          </w:rPr>
          <w:t>69</w:t>
        </w:r>
        <w:r w:rsidR="00441EB1">
          <w:rPr>
            <w:noProof/>
            <w:webHidden/>
          </w:rPr>
          <w:fldChar w:fldCharType="end"/>
        </w:r>
      </w:hyperlink>
    </w:p>
    <w:p w14:paraId="38404038" w14:textId="77777777" w:rsidR="00EC1ACB" w:rsidRPr="00064134" w:rsidRDefault="00E634E9" w:rsidP="00603F3F">
      <w:pPr>
        <w:pStyle w:val="Titolo2"/>
        <w:keepNext w:val="0"/>
        <w:numPr>
          <w:ilvl w:val="0"/>
          <w:numId w:val="0"/>
        </w:numPr>
        <w:tabs>
          <w:tab w:val="left" w:pos="8789"/>
        </w:tabs>
        <w:spacing w:line="276" w:lineRule="auto"/>
        <w:ind w:right="849"/>
        <w:jc w:val="both"/>
        <w:rPr>
          <w:color w:val="auto"/>
        </w:rPr>
      </w:pPr>
      <w:r w:rsidRPr="00BD3E17">
        <w:rPr>
          <w:rFonts w:eastAsia="Calibri"/>
          <w:b w:val="0"/>
          <w:color w:val="auto"/>
        </w:rPr>
        <w:fldChar w:fldCharType="end"/>
      </w:r>
      <w:r w:rsidR="00892B3A" w:rsidRPr="00064134">
        <w:rPr>
          <w:color w:val="auto"/>
        </w:rPr>
        <w:br w:type="page"/>
      </w:r>
      <w:bookmarkEnd w:id="1"/>
    </w:p>
    <w:p w14:paraId="13EC6A1B" w14:textId="77777777" w:rsidR="00242ADE" w:rsidRPr="00CD7FBE" w:rsidRDefault="00242ADE" w:rsidP="00603F3F">
      <w:pPr>
        <w:widowControl w:val="0"/>
        <w:spacing w:after="0"/>
        <w:jc w:val="center"/>
        <w:rPr>
          <w:rFonts w:ascii="Times New Roman" w:hAnsi="Times New Roman"/>
          <w:b/>
          <w:color w:val="2E74B5"/>
          <w:sz w:val="40"/>
          <w:szCs w:val="40"/>
        </w:rPr>
      </w:pPr>
      <w:bookmarkStart w:id="2" w:name="_Toc454796201"/>
      <w:bookmarkStart w:id="3" w:name="_Toc473547373"/>
      <w:r w:rsidRPr="00CD7FBE">
        <w:rPr>
          <w:rFonts w:ascii="Times New Roman" w:hAnsi="Times New Roman"/>
          <w:b/>
          <w:color w:val="2E74B5"/>
          <w:sz w:val="40"/>
          <w:szCs w:val="40"/>
        </w:rPr>
        <w:lastRenderedPageBreak/>
        <w:t>Sezione I</w:t>
      </w:r>
    </w:p>
    <w:p w14:paraId="6FAF4567" w14:textId="77777777" w:rsidR="00242ADE" w:rsidRPr="00CD7FBE" w:rsidRDefault="00242ADE" w:rsidP="00603F3F">
      <w:pPr>
        <w:widowControl w:val="0"/>
        <w:spacing w:after="0"/>
        <w:rPr>
          <w:rFonts w:ascii="Times New Roman" w:hAnsi="Times New Roman"/>
          <w:color w:val="2E74B5"/>
          <w:lang w:val="x-none"/>
        </w:rPr>
      </w:pPr>
    </w:p>
    <w:p w14:paraId="32067814" w14:textId="77777777" w:rsidR="00242ADE" w:rsidRPr="00CD7FBE" w:rsidRDefault="00242ADE" w:rsidP="00603F3F">
      <w:pPr>
        <w:widowControl w:val="0"/>
        <w:spacing w:after="0"/>
        <w:rPr>
          <w:rFonts w:ascii="Times New Roman" w:hAnsi="Times New Roman"/>
          <w:color w:val="2E74B5"/>
          <w:lang w:val="x-none"/>
        </w:rPr>
      </w:pPr>
    </w:p>
    <w:p w14:paraId="3D397441" w14:textId="77777777" w:rsidR="00242ADE" w:rsidRPr="00CD7FBE" w:rsidRDefault="00242ADE" w:rsidP="00603F3F">
      <w:pPr>
        <w:widowControl w:val="0"/>
        <w:spacing w:after="0"/>
        <w:rPr>
          <w:rFonts w:ascii="Times New Roman" w:hAnsi="Times New Roman"/>
          <w:color w:val="2E74B5"/>
          <w:lang w:val="x-none"/>
        </w:rPr>
      </w:pPr>
    </w:p>
    <w:p w14:paraId="602DA50C" w14:textId="77777777" w:rsidR="00242ADE" w:rsidRPr="00CD7FBE" w:rsidRDefault="00242ADE" w:rsidP="00603F3F">
      <w:pPr>
        <w:widowControl w:val="0"/>
        <w:spacing w:after="0"/>
        <w:rPr>
          <w:rFonts w:ascii="Times New Roman" w:hAnsi="Times New Roman"/>
          <w:color w:val="2E74B5"/>
          <w:lang w:val="x-none"/>
        </w:rPr>
      </w:pPr>
    </w:p>
    <w:p w14:paraId="5221A97B" w14:textId="77777777" w:rsidR="00242ADE" w:rsidRPr="00CD7FBE" w:rsidRDefault="00242ADE" w:rsidP="00603F3F">
      <w:pPr>
        <w:widowControl w:val="0"/>
        <w:spacing w:after="0"/>
        <w:rPr>
          <w:rFonts w:ascii="Times New Roman" w:hAnsi="Times New Roman"/>
          <w:color w:val="2E74B5"/>
          <w:lang w:val="x-none"/>
        </w:rPr>
      </w:pPr>
    </w:p>
    <w:p w14:paraId="706FB1A4" w14:textId="77777777" w:rsidR="00242ADE" w:rsidRPr="00CD7FBE" w:rsidRDefault="00242ADE" w:rsidP="00603F3F">
      <w:pPr>
        <w:widowControl w:val="0"/>
        <w:spacing w:after="0"/>
        <w:rPr>
          <w:rFonts w:ascii="Times New Roman" w:hAnsi="Times New Roman"/>
          <w:color w:val="2E74B5"/>
          <w:lang w:val="x-none"/>
        </w:rPr>
      </w:pPr>
    </w:p>
    <w:p w14:paraId="07FED83E" w14:textId="77777777" w:rsidR="00242ADE" w:rsidRPr="00CD7FBE" w:rsidRDefault="00242ADE" w:rsidP="00603F3F">
      <w:pPr>
        <w:widowControl w:val="0"/>
        <w:spacing w:after="0"/>
        <w:rPr>
          <w:rFonts w:ascii="Times New Roman" w:hAnsi="Times New Roman"/>
          <w:color w:val="2E74B5"/>
          <w:lang w:val="x-none"/>
        </w:rPr>
      </w:pPr>
    </w:p>
    <w:p w14:paraId="56BA7925" w14:textId="77777777" w:rsidR="00242ADE" w:rsidRPr="00CD7FBE" w:rsidRDefault="00242ADE" w:rsidP="00603F3F">
      <w:pPr>
        <w:widowControl w:val="0"/>
        <w:spacing w:after="0"/>
        <w:rPr>
          <w:rFonts w:ascii="Times New Roman" w:hAnsi="Times New Roman"/>
          <w:color w:val="2E74B5"/>
          <w:lang w:val="x-none"/>
        </w:rPr>
      </w:pPr>
    </w:p>
    <w:p w14:paraId="4AC66A3D" w14:textId="77777777" w:rsidR="00242ADE" w:rsidRPr="00CD7FBE" w:rsidRDefault="00242ADE" w:rsidP="00603F3F">
      <w:pPr>
        <w:widowControl w:val="0"/>
        <w:spacing w:after="0"/>
        <w:rPr>
          <w:rFonts w:ascii="Times New Roman" w:hAnsi="Times New Roman"/>
          <w:color w:val="2E74B5"/>
          <w:lang w:val="x-none"/>
        </w:rPr>
      </w:pPr>
    </w:p>
    <w:p w14:paraId="38E69248" w14:textId="77777777" w:rsidR="00242ADE" w:rsidRPr="00CD7FBE" w:rsidRDefault="00242ADE" w:rsidP="00603F3F">
      <w:pPr>
        <w:widowControl w:val="0"/>
        <w:spacing w:after="0"/>
        <w:rPr>
          <w:rFonts w:ascii="Times New Roman" w:hAnsi="Times New Roman"/>
          <w:color w:val="2E74B5"/>
          <w:lang w:val="x-none"/>
        </w:rPr>
      </w:pPr>
    </w:p>
    <w:p w14:paraId="0086B21F" w14:textId="77777777" w:rsidR="00242ADE" w:rsidRPr="00CD7FBE" w:rsidRDefault="00242ADE" w:rsidP="00603F3F">
      <w:pPr>
        <w:widowControl w:val="0"/>
        <w:spacing w:after="0"/>
        <w:rPr>
          <w:rFonts w:ascii="Times New Roman" w:hAnsi="Times New Roman"/>
          <w:color w:val="2E74B5"/>
          <w:lang w:val="x-none"/>
        </w:rPr>
      </w:pPr>
    </w:p>
    <w:p w14:paraId="4A6BFA32" w14:textId="77777777" w:rsidR="00242ADE" w:rsidRPr="00CD7FBE" w:rsidRDefault="00242ADE" w:rsidP="00603F3F">
      <w:pPr>
        <w:widowControl w:val="0"/>
        <w:spacing w:after="0"/>
        <w:rPr>
          <w:rFonts w:ascii="Times New Roman" w:hAnsi="Times New Roman"/>
          <w:color w:val="2E74B5"/>
          <w:lang w:val="x-none"/>
        </w:rPr>
      </w:pPr>
    </w:p>
    <w:p w14:paraId="2B6A2D14" w14:textId="77777777" w:rsidR="00242ADE" w:rsidRPr="00CD7FBE" w:rsidRDefault="00242ADE" w:rsidP="00603F3F">
      <w:pPr>
        <w:widowControl w:val="0"/>
        <w:spacing w:after="0"/>
        <w:rPr>
          <w:rFonts w:ascii="Times New Roman" w:hAnsi="Times New Roman"/>
          <w:color w:val="2E74B5"/>
          <w:lang w:val="x-none"/>
        </w:rPr>
      </w:pPr>
    </w:p>
    <w:p w14:paraId="23502033" w14:textId="77777777" w:rsidR="00242ADE" w:rsidRPr="00CD7FBE" w:rsidRDefault="00242ADE" w:rsidP="00603F3F">
      <w:pPr>
        <w:widowControl w:val="0"/>
        <w:spacing w:after="0"/>
        <w:rPr>
          <w:rFonts w:ascii="Times New Roman" w:hAnsi="Times New Roman"/>
          <w:color w:val="2E74B5"/>
          <w:lang w:val="x-none"/>
        </w:rPr>
      </w:pPr>
    </w:p>
    <w:p w14:paraId="53F00663" w14:textId="77777777" w:rsidR="00242ADE" w:rsidRPr="00CD7FBE" w:rsidRDefault="00242ADE" w:rsidP="00603F3F">
      <w:pPr>
        <w:widowControl w:val="0"/>
        <w:spacing w:after="0"/>
        <w:rPr>
          <w:rFonts w:ascii="Times New Roman" w:hAnsi="Times New Roman"/>
          <w:color w:val="2E74B5"/>
          <w:lang w:val="x-none"/>
        </w:rPr>
      </w:pPr>
    </w:p>
    <w:p w14:paraId="3A31F735" w14:textId="77777777" w:rsidR="00242ADE" w:rsidRPr="00A040E3" w:rsidRDefault="00242ADE" w:rsidP="00603F3F">
      <w:pPr>
        <w:pStyle w:val="Titolo1"/>
        <w:keepNext w:val="0"/>
        <w:widowControl w:val="0"/>
        <w:rPr>
          <w:b w:val="0"/>
          <w:smallCaps/>
          <w:sz w:val="96"/>
          <w:szCs w:val="96"/>
        </w:rPr>
      </w:pPr>
      <w:bookmarkStart w:id="4" w:name="_Toc535854385"/>
      <w:r w:rsidRPr="00A040E3">
        <w:rPr>
          <w:b w:val="0"/>
          <w:smallCaps/>
          <w:sz w:val="96"/>
          <w:szCs w:val="96"/>
        </w:rPr>
        <w:t>P</w:t>
      </w:r>
      <w:r w:rsidRPr="00A040E3">
        <w:rPr>
          <w:b w:val="0"/>
          <w:smallCaps/>
          <w:sz w:val="96"/>
          <w:szCs w:val="96"/>
          <w:lang w:val="it-IT"/>
        </w:rPr>
        <w:t>arte generale</w:t>
      </w:r>
      <w:bookmarkEnd w:id="4"/>
    </w:p>
    <w:p w14:paraId="29E56DAB" w14:textId="77777777" w:rsidR="00242ADE" w:rsidRPr="00CD7FBE" w:rsidRDefault="00242ADE" w:rsidP="00603F3F">
      <w:pPr>
        <w:widowControl w:val="0"/>
        <w:spacing w:after="0"/>
        <w:jc w:val="center"/>
        <w:rPr>
          <w:rFonts w:ascii="Times New Roman" w:hAnsi="Times New Roman"/>
          <w:szCs w:val="20"/>
        </w:rPr>
      </w:pPr>
      <w:r w:rsidRPr="00CD7FBE">
        <w:rPr>
          <w:rFonts w:ascii="Times New Roman" w:hAnsi="Times New Roman"/>
          <w:b/>
          <w:sz w:val="20"/>
          <w:szCs w:val="20"/>
        </w:rPr>
        <w:br w:type="page"/>
      </w:r>
    </w:p>
    <w:p w14:paraId="61AD028D" w14:textId="77777777" w:rsidR="00EC1ACB" w:rsidRPr="006672EF" w:rsidRDefault="00EC1ACB" w:rsidP="003E3269">
      <w:pPr>
        <w:pStyle w:val="Titolo2"/>
        <w:keepNext w:val="0"/>
        <w:numPr>
          <w:ilvl w:val="0"/>
          <w:numId w:val="32"/>
        </w:numPr>
        <w:spacing w:line="276" w:lineRule="auto"/>
        <w:ind w:left="284" w:hanging="284"/>
        <w:rPr>
          <w:color w:val="0070C0"/>
        </w:rPr>
      </w:pPr>
      <w:bookmarkStart w:id="5" w:name="_Toc535854386"/>
      <w:r w:rsidRPr="006672EF">
        <w:rPr>
          <w:color w:val="0070C0"/>
        </w:rPr>
        <w:lastRenderedPageBreak/>
        <w:t>Premessa</w:t>
      </w:r>
      <w:bookmarkEnd w:id="2"/>
      <w:bookmarkEnd w:id="3"/>
      <w:bookmarkEnd w:id="5"/>
    </w:p>
    <w:p w14:paraId="71348C56" w14:textId="03BA033E" w:rsidR="00014A79" w:rsidRPr="00014A79" w:rsidRDefault="00014A79" w:rsidP="00014A79">
      <w:pPr>
        <w:widowControl w:val="0"/>
        <w:spacing w:after="0"/>
        <w:jc w:val="both"/>
        <w:rPr>
          <w:rFonts w:ascii="Times New Roman" w:hAnsi="Times New Roman"/>
          <w:sz w:val="20"/>
          <w:szCs w:val="20"/>
          <w:lang w:eastAsia="it-IT"/>
        </w:rPr>
      </w:pPr>
      <w:r w:rsidRPr="00014A79">
        <w:rPr>
          <w:rFonts w:ascii="Times New Roman" w:hAnsi="Times New Roman"/>
          <w:sz w:val="20"/>
          <w:szCs w:val="20"/>
          <w:shd w:val="clear" w:color="auto" w:fill="FFFFFF"/>
        </w:rPr>
        <w:t>La società è nata nel novembre 2005 a seguito della trasformazione dell’Azienda Speciale Pluriservizi di Marino. La </w:t>
      </w:r>
      <w:r w:rsidRPr="00014A79">
        <w:rPr>
          <w:rStyle w:val="Enfasigrassetto"/>
          <w:rFonts w:ascii="Times New Roman" w:hAnsi="Times New Roman"/>
          <w:sz w:val="20"/>
          <w:szCs w:val="20"/>
          <w:bdr w:val="none" w:sz="0" w:space="0" w:color="auto" w:frame="1"/>
          <w:shd w:val="clear" w:color="auto" w:fill="FFFFFF"/>
        </w:rPr>
        <w:t>Multiservizi dei Castelli di Marino S</w:t>
      </w:r>
      <w:r w:rsidR="00BD6535">
        <w:rPr>
          <w:rStyle w:val="Enfasigrassetto"/>
          <w:rFonts w:ascii="Times New Roman" w:hAnsi="Times New Roman"/>
          <w:sz w:val="20"/>
          <w:szCs w:val="20"/>
          <w:bdr w:val="none" w:sz="0" w:space="0" w:color="auto" w:frame="1"/>
          <w:shd w:val="clear" w:color="auto" w:fill="FFFFFF"/>
        </w:rPr>
        <w:t>.</w:t>
      </w:r>
      <w:r w:rsidRPr="00014A79">
        <w:rPr>
          <w:rStyle w:val="Enfasigrassetto"/>
          <w:rFonts w:ascii="Times New Roman" w:hAnsi="Times New Roman"/>
          <w:sz w:val="20"/>
          <w:szCs w:val="20"/>
          <w:bdr w:val="none" w:sz="0" w:space="0" w:color="auto" w:frame="1"/>
          <w:shd w:val="clear" w:color="auto" w:fill="FFFFFF"/>
        </w:rPr>
        <w:t>p</w:t>
      </w:r>
      <w:r w:rsidR="00BD6535">
        <w:rPr>
          <w:rStyle w:val="Enfasigrassetto"/>
          <w:rFonts w:ascii="Times New Roman" w:hAnsi="Times New Roman"/>
          <w:sz w:val="20"/>
          <w:szCs w:val="20"/>
          <w:bdr w:val="none" w:sz="0" w:space="0" w:color="auto" w:frame="1"/>
          <w:shd w:val="clear" w:color="auto" w:fill="FFFFFF"/>
        </w:rPr>
        <w:t>.</w:t>
      </w:r>
      <w:r w:rsidRPr="00014A79">
        <w:rPr>
          <w:rStyle w:val="Enfasigrassetto"/>
          <w:rFonts w:ascii="Times New Roman" w:hAnsi="Times New Roman"/>
          <w:sz w:val="20"/>
          <w:szCs w:val="20"/>
          <w:bdr w:val="none" w:sz="0" w:space="0" w:color="auto" w:frame="1"/>
          <w:shd w:val="clear" w:color="auto" w:fill="FFFFFF"/>
        </w:rPr>
        <w:t>A</w:t>
      </w:r>
      <w:r w:rsidR="00DA082A">
        <w:rPr>
          <w:rFonts w:ascii="Times New Roman" w:hAnsi="Times New Roman"/>
          <w:sz w:val="20"/>
          <w:szCs w:val="20"/>
          <w:shd w:val="clear" w:color="auto" w:fill="FFFFFF"/>
        </w:rPr>
        <w:t>.</w:t>
      </w:r>
      <w:r w:rsidRPr="00014A79">
        <w:rPr>
          <w:rFonts w:ascii="Times New Roman" w:hAnsi="Times New Roman"/>
          <w:sz w:val="20"/>
          <w:szCs w:val="20"/>
          <w:shd w:val="clear" w:color="auto" w:fill="FFFFFF"/>
        </w:rPr>
        <w:t xml:space="preserve"> con capitale sociale di € 3.521.000,00 detenuto dal Comune di Marino Socio Unico, esplica la sua attività nel settore dei servizi pubblici, dove è impegnata in programmi di ricerca e sviluppo in modo da poter servire sempre con migl</w:t>
      </w:r>
      <w:r>
        <w:rPr>
          <w:rFonts w:ascii="Times New Roman" w:hAnsi="Times New Roman"/>
          <w:sz w:val="20"/>
          <w:szCs w:val="20"/>
          <w:shd w:val="clear" w:color="auto" w:fill="FFFFFF"/>
        </w:rPr>
        <w:t>iore qualità i servizi resi alla</w:t>
      </w:r>
      <w:r w:rsidRPr="00014A79">
        <w:rPr>
          <w:rFonts w:ascii="Times New Roman" w:hAnsi="Times New Roman"/>
          <w:sz w:val="20"/>
          <w:szCs w:val="20"/>
          <w:shd w:val="clear" w:color="auto" w:fill="FFFFFF"/>
        </w:rPr>
        <w:t xml:space="preserve"> cittadinanza.</w:t>
      </w:r>
    </w:p>
    <w:p w14:paraId="51D1D17F" w14:textId="1A5135DD" w:rsidR="00135A41" w:rsidRDefault="00014A79" w:rsidP="0018644F">
      <w:pPr>
        <w:widowControl w:val="0"/>
        <w:spacing w:after="60"/>
        <w:jc w:val="both"/>
        <w:rPr>
          <w:rFonts w:ascii="Times New Roman" w:hAnsi="Times New Roman"/>
          <w:sz w:val="20"/>
          <w:szCs w:val="20"/>
          <w:lang w:eastAsia="it-IT"/>
        </w:rPr>
      </w:pPr>
      <w:r w:rsidRPr="0018644F">
        <w:rPr>
          <w:rFonts w:ascii="Times New Roman" w:hAnsi="Times New Roman"/>
          <w:sz w:val="20"/>
          <w:szCs w:val="20"/>
          <w:lang w:eastAsia="it-IT"/>
        </w:rPr>
        <w:t xml:space="preserve">Gli attuali servizi svolti, alla data del 30/01/2019, </w:t>
      </w:r>
      <w:r w:rsidR="00467E26" w:rsidRPr="0018644F">
        <w:rPr>
          <w:rFonts w:ascii="Times New Roman" w:hAnsi="Times New Roman"/>
          <w:sz w:val="20"/>
          <w:szCs w:val="20"/>
          <w:lang w:eastAsia="it-IT"/>
        </w:rPr>
        <w:t>in modo schematico e sintetico,</w:t>
      </w:r>
      <w:r w:rsidR="0018644F">
        <w:rPr>
          <w:rFonts w:ascii="Times New Roman" w:hAnsi="Times New Roman"/>
          <w:sz w:val="20"/>
          <w:szCs w:val="20"/>
          <w:lang w:eastAsia="it-IT"/>
        </w:rPr>
        <w:t xml:space="preserve"> sono riportati nella seguente </w:t>
      </w:r>
      <w:r w:rsidR="0018644F" w:rsidRPr="0018644F">
        <w:rPr>
          <w:rFonts w:ascii="Times New Roman" w:hAnsi="Times New Roman"/>
          <w:b/>
          <w:sz w:val="20"/>
          <w:szCs w:val="20"/>
          <w:lang w:eastAsia="it-IT"/>
        </w:rPr>
        <w:t>T</w:t>
      </w:r>
      <w:r w:rsidR="00467E26" w:rsidRPr="0018644F">
        <w:rPr>
          <w:rFonts w:ascii="Times New Roman" w:hAnsi="Times New Roman"/>
          <w:b/>
          <w:sz w:val="20"/>
          <w:szCs w:val="20"/>
          <w:lang w:eastAsia="it-IT"/>
        </w:rPr>
        <w:t>abella</w:t>
      </w:r>
      <w:r w:rsidR="0018644F" w:rsidRPr="0018644F">
        <w:rPr>
          <w:rFonts w:ascii="Times New Roman" w:hAnsi="Times New Roman"/>
          <w:b/>
          <w:sz w:val="20"/>
          <w:szCs w:val="20"/>
          <w:lang w:eastAsia="it-IT"/>
        </w:rPr>
        <w:t xml:space="preserve"> 1</w:t>
      </w:r>
      <w:r w:rsidR="00467E26" w:rsidRPr="0018644F">
        <w:rPr>
          <w:rFonts w:ascii="Times New Roman" w:hAnsi="Times New Roman"/>
          <w:sz w:val="20"/>
          <w:szCs w:val="20"/>
          <w:lang w:eastAsia="it-IT"/>
        </w:rPr>
        <w:t>:</w:t>
      </w:r>
    </w:p>
    <w:tbl>
      <w:tblPr>
        <w:tblW w:w="8761" w:type="dxa"/>
        <w:jc w:val="center"/>
        <w:tblCellMar>
          <w:left w:w="70" w:type="dxa"/>
          <w:right w:w="70" w:type="dxa"/>
        </w:tblCellMar>
        <w:tblLook w:val="04A0" w:firstRow="1" w:lastRow="0" w:firstColumn="1" w:lastColumn="0" w:noHBand="0" w:noVBand="1"/>
      </w:tblPr>
      <w:tblGrid>
        <w:gridCol w:w="320"/>
        <w:gridCol w:w="4789"/>
        <w:gridCol w:w="1021"/>
        <w:gridCol w:w="2812"/>
      </w:tblGrid>
      <w:tr w:rsidR="00135A41" w14:paraId="1284E116" w14:textId="77777777" w:rsidTr="00861B7A">
        <w:trPr>
          <w:trHeight w:val="51"/>
          <w:jc w:val="center"/>
        </w:trPr>
        <w:tc>
          <w:tcPr>
            <w:tcW w:w="8761" w:type="dxa"/>
            <w:gridSpan w:val="4"/>
            <w:tcBorders>
              <w:top w:val="single" w:sz="4" w:space="0" w:color="000000"/>
              <w:left w:val="single" w:sz="4" w:space="0" w:color="000000"/>
              <w:bottom w:val="single" w:sz="4" w:space="0" w:color="000000"/>
              <w:right w:val="single" w:sz="4" w:space="0" w:color="000000"/>
            </w:tcBorders>
            <w:shd w:val="clear" w:color="auto" w:fill="FFFF00"/>
            <w:noWrap/>
            <w:vAlign w:val="bottom"/>
          </w:tcPr>
          <w:p w14:paraId="0A58FA3E" w14:textId="7B95E501" w:rsidR="00135A41" w:rsidRPr="00861B7A" w:rsidRDefault="00135A41" w:rsidP="0018644F">
            <w:pPr>
              <w:spacing w:after="0" w:line="240" w:lineRule="auto"/>
              <w:jc w:val="center"/>
              <w:rPr>
                <w:rFonts w:ascii="Times New Roman" w:hAnsi="Times New Roman"/>
                <w:b/>
                <w:bCs/>
                <w:color w:val="000000"/>
                <w:sz w:val="18"/>
                <w:szCs w:val="18"/>
              </w:rPr>
            </w:pPr>
            <w:r w:rsidRPr="00861B7A">
              <w:rPr>
                <w:rFonts w:ascii="Times New Roman" w:hAnsi="Times New Roman"/>
                <w:b/>
                <w:bCs/>
                <w:color w:val="000000"/>
                <w:sz w:val="18"/>
                <w:szCs w:val="18"/>
              </w:rPr>
              <w:t xml:space="preserve">Tabella </w:t>
            </w:r>
            <w:r w:rsidR="0018644F">
              <w:rPr>
                <w:rFonts w:ascii="Times New Roman" w:hAnsi="Times New Roman"/>
                <w:b/>
                <w:bCs/>
                <w:color w:val="000000"/>
                <w:sz w:val="18"/>
                <w:szCs w:val="18"/>
              </w:rPr>
              <w:t>1</w:t>
            </w:r>
            <w:r w:rsidRPr="00861B7A">
              <w:rPr>
                <w:rFonts w:ascii="Times New Roman" w:hAnsi="Times New Roman"/>
                <w:b/>
                <w:bCs/>
                <w:color w:val="000000"/>
                <w:sz w:val="18"/>
                <w:szCs w:val="18"/>
              </w:rPr>
              <w:t xml:space="preserve">: I servizi espletati dalla </w:t>
            </w:r>
            <w:r w:rsidRPr="00BC3A4A">
              <w:rPr>
                <w:rFonts w:ascii="Times New Roman" w:eastAsia="MS Mincho" w:hAnsi="Times New Roman"/>
                <w:b/>
                <w:sz w:val="18"/>
                <w:szCs w:val="18"/>
              </w:rPr>
              <w:t xml:space="preserve">MULTISERVIZI DEI CASTELLI DI MARINO S.P.A. </w:t>
            </w:r>
          </w:p>
        </w:tc>
      </w:tr>
      <w:tr w:rsidR="00135A41" w14:paraId="66241BAC" w14:textId="77777777" w:rsidTr="00861B7A">
        <w:trPr>
          <w:trHeight w:val="30"/>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0EBBC430"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 </w:t>
            </w:r>
          </w:p>
        </w:tc>
        <w:tc>
          <w:tcPr>
            <w:tcW w:w="4789" w:type="dxa"/>
            <w:tcBorders>
              <w:top w:val="nil"/>
              <w:left w:val="nil"/>
              <w:bottom w:val="single" w:sz="4" w:space="0" w:color="000000"/>
              <w:right w:val="single" w:sz="4" w:space="0" w:color="000000"/>
            </w:tcBorders>
            <w:shd w:val="clear" w:color="auto" w:fill="auto"/>
            <w:noWrap/>
            <w:vAlign w:val="bottom"/>
            <w:hideMark/>
          </w:tcPr>
          <w:p w14:paraId="54622BF2" w14:textId="77777777" w:rsidR="00135A41" w:rsidRPr="00861B7A" w:rsidRDefault="00135A41" w:rsidP="00135A41">
            <w:pPr>
              <w:spacing w:after="0" w:line="240" w:lineRule="auto"/>
              <w:jc w:val="center"/>
              <w:rPr>
                <w:rFonts w:ascii="Times New Roman" w:hAnsi="Times New Roman"/>
                <w:b/>
                <w:bCs/>
                <w:color w:val="000000"/>
                <w:sz w:val="16"/>
                <w:szCs w:val="16"/>
              </w:rPr>
            </w:pPr>
            <w:r w:rsidRPr="00861B7A">
              <w:rPr>
                <w:rFonts w:ascii="Times New Roman" w:hAnsi="Times New Roman"/>
                <w:b/>
                <w:bCs/>
                <w:color w:val="000000"/>
                <w:sz w:val="16"/>
                <w:szCs w:val="16"/>
              </w:rPr>
              <w:t>CONTRATTO</w:t>
            </w:r>
          </w:p>
        </w:tc>
        <w:tc>
          <w:tcPr>
            <w:tcW w:w="840" w:type="dxa"/>
            <w:tcBorders>
              <w:top w:val="nil"/>
              <w:left w:val="nil"/>
              <w:bottom w:val="single" w:sz="4" w:space="0" w:color="000000"/>
              <w:right w:val="single" w:sz="4" w:space="0" w:color="000000"/>
            </w:tcBorders>
            <w:shd w:val="clear" w:color="auto" w:fill="auto"/>
            <w:noWrap/>
            <w:vAlign w:val="bottom"/>
            <w:hideMark/>
          </w:tcPr>
          <w:p w14:paraId="553CB9D4" w14:textId="77777777" w:rsidR="00135A41" w:rsidRPr="00861B7A" w:rsidRDefault="00135A41" w:rsidP="00135A41">
            <w:pPr>
              <w:spacing w:after="0" w:line="240" w:lineRule="auto"/>
              <w:jc w:val="center"/>
              <w:rPr>
                <w:rFonts w:ascii="Times New Roman" w:hAnsi="Times New Roman"/>
                <w:b/>
                <w:bCs/>
                <w:color w:val="000000"/>
                <w:sz w:val="16"/>
                <w:szCs w:val="16"/>
              </w:rPr>
            </w:pPr>
            <w:r w:rsidRPr="00861B7A">
              <w:rPr>
                <w:rFonts w:ascii="Times New Roman" w:hAnsi="Times New Roman"/>
                <w:b/>
                <w:bCs/>
                <w:color w:val="000000"/>
                <w:sz w:val="16"/>
                <w:szCs w:val="16"/>
              </w:rPr>
              <w:t>SCADENZA</w:t>
            </w:r>
          </w:p>
        </w:tc>
        <w:tc>
          <w:tcPr>
            <w:tcW w:w="2812" w:type="dxa"/>
            <w:tcBorders>
              <w:top w:val="nil"/>
              <w:left w:val="nil"/>
              <w:bottom w:val="single" w:sz="4" w:space="0" w:color="000000"/>
              <w:right w:val="single" w:sz="4" w:space="0" w:color="000000"/>
            </w:tcBorders>
            <w:shd w:val="clear" w:color="auto" w:fill="auto"/>
            <w:noWrap/>
            <w:vAlign w:val="bottom"/>
            <w:hideMark/>
          </w:tcPr>
          <w:p w14:paraId="15B1EED5" w14:textId="77777777" w:rsidR="00135A41" w:rsidRPr="00861B7A" w:rsidRDefault="00135A41" w:rsidP="00135A41">
            <w:pPr>
              <w:spacing w:after="0" w:line="240" w:lineRule="auto"/>
              <w:jc w:val="center"/>
              <w:rPr>
                <w:rFonts w:ascii="Times New Roman" w:hAnsi="Times New Roman"/>
                <w:b/>
                <w:bCs/>
                <w:color w:val="000000"/>
                <w:sz w:val="16"/>
                <w:szCs w:val="16"/>
              </w:rPr>
            </w:pPr>
            <w:r w:rsidRPr="00861B7A">
              <w:rPr>
                <w:rFonts w:ascii="Times New Roman" w:hAnsi="Times New Roman"/>
                <w:b/>
                <w:bCs/>
                <w:color w:val="000000"/>
                <w:sz w:val="16"/>
                <w:szCs w:val="16"/>
              </w:rPr>
              <w:t xml:space="preserve"> IMPORTO ANNUO </w:t>
            </w:r>
          </w:p>
        </w:tc>
      </w:tr>
      <w:tr w:rsidR="00135A41" w14:paraId="7047E03C" w14:textId="77777777" w:rsidTr="00861B7A">
        <w:trPr>
          <w:trHeight w:val="101"/>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12467B77"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w:t>
            </w:r>
          </w:p>
        </w:tc>
        <w:tc>
          <w:tcPr>
            <w:tcW w:w="4789" w:type="dxa"/>
            <w:tcBorders>
              <w:top w:val="nil"/>
              <w:left w:val="nil"/>
              <w:bottom w:val="single" w:sz="4" w:space="0" w:color="000000"/>
              <w:right w:val="single" w:sz="4" w:space="0" w:color="000000"/>
            </w:tcBorders>
            <w:shd w:val="clear" w:color="auto" w:fill="auto"/>
            <w:noWrap/>
            <w:vAlign w:val="bottom"/>
            <w:hideMark/>
          </w:tcPr>
          <w:p w14:paraId="34FB3FE0"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ASILO NIDO MONSIGNOR GRASSI</w:t>
            </w:r>
          </w:p>
        </w:tc>
        <w:tc>
          <w:tcPr>
            <w:tcW w:w="840" w:type="dxa"/>
            <w:tcBorders>
              <w:top w:val="nil"/>
              <w:left w:val="nil"/>
              <w:bottom w:val="single" w:sz="4" w:space="0" w:color="000000"/>
              <w:right w:val="single" w:sz="4" w:space="0" w:color="000000"/>
            </w:tcBorders>
            <w:shd w:val="clear" w:color="auto" w:fill="auto"/>
            <w:noWrap/>
            <w:vAlign w:val="bottom"/>
            <w:hideMark/>
          </w:tcPr>
          <w:p w14:paraId="25CE3E55"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743A0111"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216.854,22 ESENTE IVA </w:t>
            </w:r>
          </w:p>
        </w:tc>
      </w:tr>
      <w:tr w:rsidR="00135A41" w14:paraId="697184DD" w14:textId="77777777" w:rsidTr="00861B7A">
        <w:trPr>
          <w:trHeight w:val="34"/>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10724FC4"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2</w:t>
            </w:r>
          </w:p>
        </w:tc>
        <w:tc>
          <w:tcPr>
            <w:tcW w:w="4789" w:type="dxa"/>
            <w:tcBorders>
              <w:top w:val="nil"/>
              <w:left w:val="nil"/>
              <w:bottom w:val="single" w:sz="4" w:space="0" w:color="000000"/>
              <w:right w:val="single" w:sz="4" w:space="0" w:color="000000"/>
            </w:tcBorders>
            <w:shd w:val="clear" w:color="auto" w:fill="auto"/>
            <w:noWrap/>
            <w:vAlign w:val="bottom"/>
            <w:hideMark/>
          </w:tcPr>
          <w:p w14:paraId="0C6AD052"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OPERAZIONI CIMITERIALI CUSTODE</w:t>
            </w:r>
          </w:p>
        </w:tc>
        <w:tc>
          <w:tcPr>
            <w:tcW w:w="840" w:type="dxa"/>
            <w:tcBorders>
              <w:top w:val="nil"/>
              <w:left w:val="nil"/>
              <w:bottom w:val="single" w:sz="4" w:space="0" w:color="000000"/>
              <w:right w:val="single" w:sz="4" w:space="0" w:color="000000"/>
            </w:tcBorders>
            <w:shd w:val="clear" w:color="auto" w:fill="auto"/>
            <w:noWrap/>
            <w:vAlign w:val="bottom"/>
            <w:hideMark/>
          </w:tcPr>
          <w:p w14:paraId="78C6A384"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777BF4F6"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131.379,00 e OP. CIMIT. + IVA 22% </w:t>
            </w:r>
          </w:p>
        </w:tc>
      </w:tr>
      <w:tr w:rsidR="00135A41" w14:paraId="7208786B" w14:textId="77777777" w:rsidTr="00861B7A">
        <w:trPr>
          <w:trHeight w:val="107"/>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43030A18"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3</w:t>
            </w:r>
          </w:p>
        </w:tc>
        <w:tc>
          <w:tcPr>
            <w:tcW w:w="4789" w:type="dxa"/>
            <w:tcBorders>
              <w:top w:val="nil"/>
              <w:left w:val="nil"/>
              <w:bottom w:val="single" w:sz="4" w:space="0" w:color="000000"/>
              <w:right w:val="single" w:sz="4" w:space="0" w:color="000000"/>
            </w:tcBorders>
            <w:shd w:val="clear" w:color="auto" w:fill="auto"/>
            <w:noWrap/>
            <w:vAlign w:val="bottom"/>
            <w:hideMark/>
          </w:tcPr>
          <w:p w14:paraId="66A72591"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PRE-POST SCUOLA</w:t>
            </w:r>
          </w:p>
        </w:tc>
        <w:tc>
          <w:tcPr>
            <w:tcW w:w="840" w:type="dxa"/>
            <w:tcBorders>
              <w:top w:val="nil"/>
              <w:left w:val="nil"/>
              <w:bottom w:val="single" w:sz="4" w:space="0" w:color="000000"/>
              <w:right w:val="single" w:sz="4" w:space="0" w:color="000000"/>
            </w:tcBorders>
            <w:shd w:val="clear" w:color="auto" w:fill="auto"/>
            <w:noWrap/>
            <w:vAlign w:val="bottom"/>
            <w:hideMark/>
          </w:tcPr>
          <w:p w14:paraId="35590644"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33522955"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74.987,87 + IVA 22% </w:t>
            </w:r>
          </w:p>
        </w:tc>
      </w:tr>
      <w:tr w:rsidR="00135A41" w14:paraId="0E26BEE0" w14:textId="77777777" w:rsidTr="00861B7A">
        <w:trPr>
          <w:trHeight w:val="39"/>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4A009935"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4</w:t>
            </w:r>
          </w:p>
        </w:tc>
        <w:tc>
          <w:tcPr>
            <w:tcW w:w="4789" w:type="dxa"/>
            <w:tcBorders>
              <w:top w:val="nil"/>
              <w:left w:val="nil"/>
              <w:bottom w:val="single" w:sz="4" w:space="0" w:color="000000"/>
              <w:right w:val="single" w:sz="4" w:space="0" w:color="000000"/>
            </w:tcBorders>
            <w:shd w:val="clear" w:color="auto" w:fill="auto"/>
            <w:noWrap/>
            <w:vAlign w:val="bottom"/>
            <w:hideMark/>
          </w:tcPr>
          <w:p w14:paraId="1402554E"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RISCOSSIONE RETTE PRE-POST</w:t>
            </w:r>
          </w:p>
        </w:tc>
        <w:tc>
          <w:tcPr>
            <w:tcW w:w="840" w:type="dxa"/>
            <w:tcBorders>
              <w:top w:val="nil"/>
              <w:left w:val="nil"/>
              <w:bottom w:val="single" w:sz="4" w:space="0" w:color="000000"/>
              <w:right w:val="single" w:sz="4" w:space="0" w:color="000000"/>
            </w:tcBorders>
            <w:shd w:val="clear" w:color="auto" w:fill="auto"/>
            <w:noWrap/>
            <w:vAlign w:val="bottom"/>
            <w:hideMark/>
          </w:tcPr>
          <w:p w14:paraId="388F5D04"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6EF02776"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8.411,50 + IVA 22% </w:t>
            </w:r>
          </w:p>
        </w:tc>
      </w:tr>
      <w:tr w:rsidR="00135A41" w14:paraId="7D410469" w14:textId="77777777" w:rsidTr="00861B7A">
        <w:trPr>
          <w:trHeight w:val="30"/>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7F754527"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5</w:t>
            </w:r>
          </w:p>
        </w:tc>
        <w:tc>
          <w:tcPr>
            <w:tcW w:w="4789" w:type="dxa"/>
            <w:tcBorders>
              <w:top w:val="nil"/>
              <w:left w:val="nil"/>
              <w:bottom w:val="single" w:sz="4" w:space="0" w:color="000000"/>
              <w:right w:val="single" w:sz="4" w:space="0" w:color="000000"/>
            </w:tcBorders>
            <w:shd w:val="clear" w:color="auto" w:fill="auto"/>
            <w:noWrap/>
            <w:vAlign w:val="bottom"/>
            <w:hideMark/>
          </w:tcPr>
          <w:p w14:paraId="50EAE8B2"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RISCOSSIONE RETTE ASILO NIDO</w:t>
            </w:r>
          </w:p>
        </w:tc>
        <w:tc>
          <w:tcPr>
            <w:tcW w:w="840" w:type="dxa"/>
            <w:tcBorders>
              <w:top w:val="nil"/>
              <w:left w:val="nil"/>
              <w:bottom w:val="single" w:sz="4" w:space="0" w:color="000000"/>
              <w:right w:val="single" w:sz="4" w:space="0" w:color="000000"/>
            </w:tcBorders>
            <w:shd w:val="clear" w:color="auto" w:fill="auto"/>
            <w:noWrap/>
            <w:vAlign w:val="bottom"/>
            <w:hideMark/>
          </w:tcPr>
          <w:p w14:paraId="5EEDD47F"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31/07/2018</w:t>
            </w:r>
          </w:p>
        </w:tc>
        <w:tc>
          <w:tcPr>
            <w:tcW w:w="2812" w:type="dxa"/>
            <w:tcBorders>
              <w:top w:val="nil"/>
              <w:left w:val="nil"/>
              <w:bottom w:val="single" w:sz="4" w:space="0" w:color="000000"/>
              <w:right w:val="single" w:sz="4" w:space="0" w:color="000000"/>
            </w:tcBorders>
            <w:shd w:val="clear" w:color="auto" w:fill="auto"/>
            <w:noWrap/>
            <w:vAlign w:val="bottom"/>
            <w:hideMark/>
          </w:tcPr>
          <w:p w14:paraId="64FDF230"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8.411,50 + IVA 22% </w:t>
            </w:r>
          </w:p>
        </w:tc>
      </w:tr>
      <w:tr w:rsidR="00135A41" w14:paraId="6491F6D6" w14:textId="77777777" w:rsidTr="00861B7A">
        <w:trPr>
          <w:trHeight w:val="31"/>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42531C57"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6</w:t>
            </w:r>
          </w:p>
        </w:tc>
        <w:tc>
          <w:tcPr>
            <w:tcW w:w="4789" w:type="dxa"/>
            <w:tcBorders>
              <w:top w:val="nil"/>
              <w:left w:val="nil"/>
              <w:bottom w:val="single" w:sz="4" w:space="0" w:color="000000"/>
              <w:right w:val="single" w:sz="4" w:space="0" w:color="000000"/>
            </w:tcBorders>
            <w:shd w:val="clear" w:color="auto" w:fill="auto"/>
            <w:noWrap/>
            <w:vAlign w:val="bottom"/>
            <w:hideMark/>
          </w:tcPr>
          <w:p w14:paraId="09731A8A"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MENSA SCOLASTICA</w:t>
            </w:r>
          </w:p>
        </w:tc>
        <w:tc>
          <w:tcPr>
            <w:tcW w:w="840" w:type="dxa"/>
            <w:tcBorders>
              <w:top w:val="nil"/>
              <w:left w:val="nil"/>
              <w:bottom w:val="single" w:sz="4" w:space="0" w:color="000000"/>
              <w:right w:val="single" w:sz="4" w:space="0" w:color="000000"/>
            </w:tcBorders>
            <w:shd w:val="clear" w:color="auto" w:fill="auto"/>
            <w:noWrap/>
            <w:vAlign w:val="bottom"/>
            <w:hideMark/>
          </w:tcPr>
          <w:p w14:paraId="1FCDC6F3"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34560F33"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€ 4,78 a pasto + IVA 4% </w:t>
            </w:r>
          </w:p>
        </w:tc>
      </w:tr>
      <w:tr w:rsidR="00135A41" w14:paraId="36C68533" w14:textId="77777777" w:rsidTr="00861B7A">
        <w:trPr>
          <w:trHeight w:val="106"/>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4EB74B61"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7</w:t>
            </w:r>
          </w:p>
        </w:tc>
        <w:tc>
          <w:tcPr>
            <w:tcW w:w="4789" w:type="dxa"/>
            <w:tcBorders>
              <w:top w:val="nil"/>
              <w:left w:val="nil"/>
              <w:bottom w:val="single" w:sz="4" w:space="0" w:color="000000"/>
              <w:right w:val="single" w:sz="4" w:space="0" w:color="000000"/>
            </w:tcBorders>
            <w:shd w:val="clear" w:color="auto" w:fill="auto"/>
            <w:noWrap/>
            <w:vAlign w:val="bottom"/>
            <w:hideMark/>
          </w:tcPr>
          <w:p w14:paraId="68D3A7B2"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RISCOSSIONE MENSA SCOLASTICA</w:t>
            </w:r>
          </w:p>
        </w:tc>
        <w:tc>
          <w:tcPr>
            <w:tcW w:w="840" w:type="dxa"/>
            <w:tcBorders>
              <w:top w:val="nil"/>
              <w:left w:val="nil"/>
              <w:bottom w:val="single" w:sz="4" w:space="0" w:color="000000"/>
              <w:right w:val="single" w:sz="4" w:space="0" w:color="000000"/>
            </w:tcBorders>
            <w:shd w:val="clear" w:color="auto" w:fill="auto"/>
            <w:noWrap/>
            <w:vAlign w:val="bottom"/>
            <w:hideMark/>
          </w:tcPr>
          <w:p w14:paraId="1AD5413E"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02349861"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32.586,60 + IVA 22% </w:t>
            </w:r>
          </w:p>
        </w:tc>
      </w:tr>
      <w:tr w:rsidR="00135A41" w14:paraId="48941417" w14:textId="77777777" w:rsidTr="00861B7A">
        <w:trPr>
          <w:trHeight w:val="78"/>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78F0C5B3"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8</w:t>
            </w:r>
          </w:p>
        </w:tc>
        <w:tc>
          <w:tcPr>
            <w:tcW w:w="4789" w:type="dxa"/>
            <w:tcBorders>
              <w:top w:val="nil"/>
              <w:left w:val="nil"/>
              <w:bottom w:val="single" w:sz="4" w:space="0" w:color="000000"/>
              <w:right w:val="single" w:sz="4" w:space="0" w:color="000000"/>
            </w:tcBorders>
            <w:shd w:val="clear" w:color="auto" w:fill="auto"/>
            <w:noWrap/>
            <w:vAlign w:val="bottom"/>
            <w:hideMark/>
          </w:tcPr>
          <w:p w14:paraId="47DD6282"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ASSISTENZA ALUNNI DIVERSAMENTE ABILI NELLE SCUOLE</w:t>
            </w:r>
          </w:p>
        </w:tc>
        <w:tc>
          <w:tcPr>
            <w:tcW w:w="840" w:type="dxa"/>
            <w:tcBorders>
              <w:top w:val="nil"/>
              <w:left w:val="nil"/>
              <w:bottom w:val="single" w:sz="4" w:space="0" w:color="000000"/>
              <w:right w:val="single" w:sz="4" w:space="0" w:color="000000"/>
            </w:tcBorders>
            <w:shd w:val="clear" w:color="auto" w:fill="auto"/>
            <w:noWrap/>
            <w:vAlign w:val="bottom"/>
            <w:hideMark/>
          </w:tcPr>
          <w:p w14:paraId="1318E015"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3C594AB7"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€ 18,48 (costo orario) + IVA 22%  </w:t>
            </w:r>
          </w:p>
        </w:tc>
      </w:tr>
      <w:tr w:rsidR="00135A41" w14:paraId="28495A12" w14:textId="77777777" w:rsidTr="00861B7A">
        <w:trPr>
          <w:trHeight w:val="44"/>
          <w:jc w:val="center"/>
        </w:trPr>
        <w:tc>
          <w:tcPr>
            <w:tcW w:w="3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D38660"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9</w:t>
            </w:r>
          </w:p>
        </w:tc>
        <w:tc>
          <w:tcPr>
            <w:tcW w:w="4789" w:type="dxa"/>
            <w:tcBorders>
              <w:top w:val="single" w:sz="4" w:space="0" w:color="000000"/>
              <w:left w:val="nil"/>
              <w:bottom w:val="single" w:sz="4" w:space="0" w:color="000000"/>
              <w:right w:val="single" w:sz="4" w:space="0" w:color="000000"/>
            </w:tcBorders>
            <w:shd w:val="clear" w:color="auto" w:fill="auto"/>
            <w:noWrap/>
            <w:vAlign w:val="bottom"/>
            <w:hideMark/>
          </w:tcPr>
          <w:p w14:paraId="14D710C8"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PULIZIA CIMITERO COMUNALE</w:t>
            </w:r>
          </w:p>
        </w:tc>
        <w:tc>
          <w:tcPr>
            <w:tcW w:w="840" w:type="dxa"/>
            <w:tcBorders>
              <w:top w:val="single" w:sz="4" w:space="0" w:color="000000"/>
              <w:left w:val="nil"/>
              <w:bottom w:val="single" w:sz="4" w:space="0" w:color="000000"/>
              <w:right w:val="single" w:sz="4" w:space="0" w:color="000000"/>
            </w:tcBorders>
            <w:shd w:val="clear" w:color="auto" w:fill="auto"/>
            <w:noWrap/>
            <w:vAlign w:val="bottom"/>
            <w:hideMark/>
          </w:tcPr>
          <w:p w14:paraId="19AB7E88"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single" w:sz="4" w:space="0" w:color="000000"/>
              <w:left w:val="nil"/>
              <w:bottom w:val="single" w:sz="4" w:space="0" w:color="000000"/>
              <w:right w:val="single" w:sz="4" w:space="0" w:color="000000"/>
            </w:tcBorders>
            <w:shd w:val="clear" w:color="auto" w:fill="auto"/>
            <w:noWrap/>
            <w:vAlign w:val="bottom"/>
            <w:hideMark/>
          </w:tcPr>
          <w:p w14:paraId="6321F1E2"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106.039,20 + IVA 22% </w:t>
            </w:r>
          </w:p>
        </w:tc>
      </w:tr>
      <w:tr w:rsidR="00135A41" w14:paraId="454577BC" w14:textId="77777777" w:rsidTr="00861B7A">
        <w:trPr>
          <w:trHeight w:val="117"/>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21113EC1"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10</w:t>
            </w:r>
          </w:p>
        </w:tc>
        <w:tc>
          <w:tcPr>
            <w:tcW w:w="4789" w:type="dxa"/>
            <w:tcBorders>
              <w:top w:val="nil"/>
              <w:left w:val="nil"/>
              <w:bottom w:val="single" w:sz="4" w:space="0" w:color="000000"/>
              <w:right w:val="single" w:sz="4" w:space="0" w:color="000000"/>
            </w:tcBorders>
            <w:shd w:val="clear" w:color="auto" w:fill="auto"/>
            <w:noWrap/>
            <w:vAlign w:val="bottom"/>
            <w:hideMark/>
          </w:tcPr>
          <w:p w14:paraId="2DA14044"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GESTIONE FARMACIE COMUNALI</w:t>
            </w:r>
          </w:p>
        </w:tc>
        <w:tc>
          <w:tcPr>
            <w:tcW w:w="840" w:type="dxa"/>
            <w:tcBorders>
              <w:top w:val="nil"/>
              <w:left w:val="nil"/>
              <w:bottom w:val="single" w:sz="4" w:space="0" w:color="000000"/>
              <w:right w:val="single" w:sz="4" w:space="0" w:color="000000"/>
            </w:tcBorders>
            <w:shd w:val="clear" w:color="auto" w:fill="auto"/>
            <w:noWrap/>
            <w:vAlign w:val="bottom"/>
            <w:hideMark/>
          </w:tcPr>
          <w:p w14:paraId="1E2B357D"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7AAFCC81"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w:t>
            </w:r>
          </w:p>
        </w:tc>
      </w:tr>
      <w:tr w:rsidR="00135A41" w14:paraId="53C9606A" w14:textId="77777777" w:rsidTr="00861B7A">
        <w:trPr>
          <w:trHeight w:val="49"/>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150F3F57"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11</w:t>
            </w:r>
          </w:p>
        </w:tc>
        <w:tc>
          <w:tcPr>
            <w:tcW w:w="4789" w:type="dxa"/>
            <w:tcBorders>
              <w:top w:val="nil"/>
              <w:left w:val="nil"/>
              <w:bottom w:val="single" w:sz="4" w:space="0" w:color="000000"/>
              <w:right w:val="single" w:sz="4" w:space="0" w:color="000000"/>
            </w:tcBorders>
            <w:shd w:val="clear" w:color="auto" w:fill="auto"/>
            <w:noWrap/>
            <w:vAlign w:val="bottom"/>
            <w:hideMark/>
          </w:tcPr>
          <w:p w14:paraId="04FDB07F"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DEFISSIONE</w:t>
            </w:r>
          </w:p>
        </w:tc>
        <w:tc>
          <w:tcPr>
            <w:tcW w:w="840" w:type="dxa"/>
            <w:tcBorders>
              <w:top w:val="nil"/>
              <w:left w:val="nil"/>
              <w:bottom w:val="single" w:sz="4" w:space="0" w:color="000000"/>
              <w:right w:val="single" w:sz="4" w:space="0" w:color="000000"/>
            </w:tcBorders>
            <w:shd w:val="clear" w:color="auto" w:fill="auto"/>
            <w:noWrap/>
            <w:vAlign w:val="bottom"/>
            <w:hideMark/>
          </w:tcPr>
          <w:p w14:paraId="13689AFB"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2F0E546B"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35.003,88 + IVA 22% </w:t>
            </w:r>
          </w:p>
        </w:tc>
      </w:tr>
      <w:tr w:rsidR="00135A41" w14:paraId="08AA2940" w14:textId="77777777" w:rsidTr="00861B7A">
        <w:trPr>
          <w:trHeight w:val="30"/>
          <w:jc w:val="center"/>
        </w:trPr>
        <w:tc>
          <w:tcPr>
            <w:tcW w:w="3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84B0A6"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12</w:t>
            </w:r>
          </w:p>
        </w:tc>
        <w:tc>
          <w:tcPr>
            <w:tcW w:w="4789" w:type="dxa"/>
            <w:tcBorders>
              <w:top w:val="single" w:sz="4" w:space="0" w:color="000000"/>
              <w:left w:val="nil"/>
              <w:bottom w:val="single" w:sz="4" w:space="0" w:color="000000"/>
              <w:right w:val="single" w:sz="4" w:space="0" w:color="000000"/>
            </w:tcBorders>
            <w:shd w:val="clear" w:color="auto" w:fill="auto"/>
            <w:noWrap/>
            <w:vAlign w:val="bottom"/>
            <w:hideMark/>
          </w:tcPr>
          <w:p w14:paraId="5079D0F5"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RISCOSSIONE AFFISSIONI, PUBBLICITA' E TOSAP</w:t>
            </w:r>
          </w:p>
        </w:tc>
        <w:tc>
          <w:tcPr>
            <w:tcW w:w="840" w:type="dxa"/>
            <w:tcBorders>
              <w:top w:val="single" w:sz="4" w:space="0" w:color="000000"/>
              <w:left w:val="nil"/>
              <w:bottom w:val="single" w:sz="4" w:space="0" w:color="000000"/>
              <w:right w:val="single" w:sz="4" w:space="0" w:color="000000"/>
            </w:tcBorders>
            <w:shd w:val="clear" w:color="auto" w:fill="auto"/>
            <w:noWrap/>
            <w:vAlign w:val="bottom"/>
            <w:hideMark/>
          </w:tcPr>
          <w:p w14:paraId="6C521C32"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single" w:sz="4" w:space="0" w:color="000000"/>
              <w:left w:val="nil"/>
              <w:bottom w:val="single" w:sz="4" w:space="0" w:color="000000"/>
              <w:right w:val="single" w:sz="4" w:space="0" w:color="000000"/>
            </w:tcBorders>
            <w:shd w:val="clear" w:color="auto" w:fill="auto"/>
            <w:noWrap/>
            <w:vAlign w:val="bottom"/>
            <w:hideMark/>
          </w:tcPr>
          <w:p w14:paraId="25109829"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AGGIO 38% +IVA 22%  </w:t>
            </w:r>
          </w:p>
        </w:tc>
      </w:tr>
      <w:tr w:rsidR="00135A41" w14:paraId="6E761E30" w14:textId="77777777" w:rsidTr="00861B7A">
        <w:trPr>
          <w:trHeight w:val="29"/>
          <w:jc w:val="center"/>
        </w:trPr>
        <w:tc>
          <w:tcPr>
            <w:tcW w:w="3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2FD3340"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14</w:t>
            </w:r>
          </w:p>
        </w:tc>
        <w:tc>
          <w:tcPr>
            <w:tcW w:w="4789" w:type="dxa"/>
            <w:tcBorders>
              <w:top w:val="single" w:sz="4" w:space="0" w:color="000000"/>
              <w:left w:val="nil"/>
              <w:bottom w:val="single" w:sz="4" w:space="0" w:color="000000"/>
              <w:right w:val="single" w:sz="4" w:space="0" w:color="000000"/>
            </w:tcBorders>
            <w:shd w:val="clear" w:color="auto" w:fill="auto"/>
            <w:noWrap/>
            <w:vAlign w:val="bottom"/>
            <w:hideMark/>
          </w:tcPr>
          <w:p w14:paraId="46A3DE2A"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LUCE VOTIVA</w:t>
            </w:r>
          </w:p>
        </w:tc>
        <w:tc>
          <w:tcPr>
            <w:tcW w:w="840" w:type="dxa"/>
            <w:tcBorders>
              <w:top w:val="single" w:sz="4" w:space="0" w:color="000000"/>
              <w:left w:val="nil"/>
              <w:bottom w:val="single" w:sz="4" w:space="0" w:color="000000"/>
              <w:right w:val="single" w:sz="4" w:space="0" w:color="000000"/>
            </w:tcBorders>
            <w:shd w:val="clear" w:color="auto" w:fill="auto"/>
            <w:noWrap/>
            <w:vAlign w:val="bottom"/>
            <w:hideMark/>
          </w:tcPr>
          <w:p w14:paraId="178EC8C7"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single" w:sz="4" w:space="0" w:color="000000"/>
              <w:left w:val="nil"/>
              <w:bottom w:val="single" w:sz="4" w:space="0" w:color="000000"/>
              <w:right w:val="single" w:sz="4" w:space="0" w:color="000000"/>
            </w:tcBorders>
            <w:shd w:val="clear" w:color="auto" w:fill="auto"/>
            <w:noWrap/>
            <w:vAlign w:val="bottom"/>
            <w:hideMark/>
          </w:tcPr>
          <w:p w14:paraId="5BB94AC4"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105.000,00 + IVA 22% </w:t>
            </w:r>
          </w:p>
        </w:tc>
      </w:tr>
      <w:tr w:rsidR="00135A41" w14:paraId="69D00C42" w14:textId="77777777" w:rsidTr="00861B7A">
        <w:trPr>
          <w:trHeight w:val="30"/>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4471013C"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15</w:t>
            </w:r>
          </w:p>
        </w:tc>
        <w:tc>
          <w:tcPr>
            <w:tcW w:w="4789" w:type="dxa"/>
            <w:tcBorders>
              <w:top w:val="nil"/>
              <w:left w:val="nil"/>
              <w:bottom w:val="single" w:sz="4" w:space="0" w:color="000000"/>
              <w:right w:val="single" w:sz="4" w:space="0" w:color="000000"/>
            </w:tcBorders>
            <w:shd w:val="clear" w:color="auto" w:fill="auto"/>
            <w:noWrap/>
            <w:vAlign w:val="bottom"/>
            <w:hideMark/>
          </w:tcPr>
          <w:p w14:paraId="3E4946EB"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PULIZIA UFFICI COMUNALI</w:t>
            </w:r>
          </w:p>
        </w:tc>
        <w:tc>
          <w:tcPr>
            <w:tcW w:w="840" w:type="dxa"/>
            <w:tcBorders>
              <w:top w:val="nil"/>
              <w:left w:val="nil"/>
              <w:bottom w:val="single" w:sz="4" w:space="0" w:color="000000"/>
              <w:right w:val="single" w:sz="4" w:space="0" w:color="000000"/>
            </w:tcBorders>
            <w:shd w:val="clear" w:color="auto" w:fill="auto"/>
            <w:noWrap/>
            <w:vAlign w:val="bottom"/>
            <w:hideMark/>
          </w:tcPr>
          <w:p w14:paraId="1C328355"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58E5252D"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289.263,12 + IVA 22% </w:t>
            </w:r>
          </w:p>
        </w:tc>
      </w:tr>
      <w:tr w:rsidR="00135A41" w14:paraId="7D442141" w14:textId="77777777" w:rsidTr="00861B7A">
        <w:trPr>
          <w:trHeight w:val="106"/>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6D7322CE"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16</w:t>
            </w:r>
          </w:p>
        </w:tc>
        <w:tc>
          <w:tcPr>
            <w:tcW w:w="4789" w:type="dxa"/>
            <w:tcBorders>
              <w:top w:val="nil"/>
              <w:left w:val="nil"/>
              <w:bottom w:val="single" w:sz="4" w:space="0" w:color="000000"/>
              <w:right w:val="single" w:sz="4" w:space="0" w:color="000000"/>
            </w:tcBorders>
            <w:shd w:val="clear" w:color="auto" w:fill="auto"/>
            <w:noWrap/>
            <w:vAlign w:val="bottom"/>
            <w:hideMark/>
          </w:tcPr>
          <w:p w14:paraId="750B2913"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PULIZIA VILLA DESIDERI</w:t>
            </w:r>
          </w:p>
        </w:tc>
        <w:tc>
          <w:tcPr>
            <w:tcW w:w="840" w:type="dxa"/>
            <w:tcBorders>
              <w:top w:val="nil"/>
              <w:left w:val="nil"/>
              <w:bottom w:val="single" w:sz="4" w:space="0" w:color="000000"/>
              <w:right w:val="single" w:sz="4" w:space="0" w:color="000000"/>
            </w:tcBorders>
            <w:shd w:val="clear" w:color="auto" w:fill="auto"/>
            <w:noWrap/>
            <w:vAlign w:val="bottom"/>
            <w:hideMark/>
          </w:tcPr>
          <w:p w14:paraId="4833C200"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04A65CD6"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22.599,26+ iva 22% </w:t>
            </w:r>
          </w:p>
        </w:tc>
      </w:tr>
      <w:tr w:rsidR="00135A41" w14:paraId="5BE94AFB" w14:textId="77777777" w:rsidTr="00861B7A">
        <w:trPr>
          <w:trHeight w:val="95"/>
          <w:jc w:val="center"/>
        </w:trPr>
        <w:tc>
          <w:tcPr>
            <w:tcW w:w="3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9BCBE90"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17</w:t>
            </w:r>
          </w:p>
        </w:tc>
        <w:tc>
          <w:tcPr>
            <w:tcW w:w="4789" w:type="dxa"/>
            <w:tcBorders>
              <w:top w:val="single" w:sz="4" w:space="0" w:color="000000"/>
              <w:left w:val="nil"/>
              <w:bottom w:val="single" w:sz="4" w:space="0" w:color="000000"/>
              <w:right w:val="single" w:sz="4" w:space="0" w:color="000000"/>
            </w:tcBorders>
            <w:shd w:val="clear" w:color="auto" w:fill="auto"/>
            <w:noWrap/>
            <w:vAlign w:val="bottom"/>
            <w:hideMark/>
          </w:tcPr>
          <w:p w14:paraId="18E76F35"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RSU E DIFFERRENZIATA</w:t>
            </w:r>
          </w:p>
        </w:tc>
        <w:tc>
          <w:tcPr>
            <w:tcW w:w="840" w:type="dxa"/>
            <w:tcBorders>
              <w:top w:val="single" w:sz="4" w:space="0" w:color="000000"/>
              <w:left w:val="nil"/>
              <w:bottom w:val="single" w:sz="4" w:space="0" w:color="000000"/>
              <w:right w:val="single" w:sz="4" w:space="0" w:color="000000"/>
            </w:tcBorders>
            <w:shd w:val="clear" w:color="auto" w:fill="auto"/>
            <w:noWrap/>
            <w:vAlign w:val="bottom"/>
            <w:hideMark/>
          </w:tcPr>
          <w:p w14:paraId="01A21661"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31/12/2027</w:t>
            </w:r>
          </w:p>
        </w:tc>
        <w:tc>
          <w:tcPr>
            <w:tcW w:w="2812" w:type="dxa"/>
            <w:tcBorders>
              <w:top w:val="single" w:sz="4" w:space="0" w:color="000000"/>
              <w:left w:val="nil"/>
              <w:bottom w:val="single" w:sz="4" w:space="0" w:color="000000"/>
              <w:right w:val="single" w:sz="4" w:space="0" w:color="000000"/>
            </w:tcBorders>
            <w:shd w:val="clear" w:color="auto" w:fill="auto"/>
            <w:noWrap/>
            <w:vAlign w:val="bottom"/>
            <w:hideMark/>
          </w:tcPr>
          <w:p w14:paraId="42413DB6"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6.701.800 + IVA 10% </w:t>
            </w:r>
          </w:p>
        </w:tc>
      </w:tr>
      <w:tr w:rsidR="00135A41" w14:paraId="2A5831C1" w14:textId="77777777" w:rsidTr="00861B7A">
        <w:trPr>
          <w:trHeight w:val="86"/>
          <w:jc w:val="center"/>
        </w:trPr>
        <w:tc>
          <w:tcPr>
            <w:tcW w:w="32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EE58A6"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18</w:t>
            </w:r>
          </w:p>
        </w:tc>
        <w:tc>
          <w:tcPr>
            <w:tcW w:w="4789" w:type="dxa"/>
            <w:tcBorders>
              <w:top w:val="single" w:sz="4" w:space="0" w:color="000000"/>
              <w:left w:val="nil"/>
              <w:bottom w:val="single" w:sz="4" w:space="0" w:color="000000"/>
              <w:right w:val="single" w:sz="4" w:space="0" w:color="000000"/>
            </w:tcBorders>
            <w:shd w:val="clear" w:color="auto" w:fill="auto"/>
            <w:noWrap/>
            <w:vAlign w:val="bottom"/>
            <w:hideMark/>
          </w:tcPr>
          <w:p w14:paraId="15CBAD80"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MANUTENZIONE DEL VERDE</w:t>
            </w:r>
          </w:p>
        </w:tc>
        <w:tc>
          <w:tcPr>
            <w:tcW w:w="840" w:type="dxa"/>
            <w:tcBorders>
              <w:top w:val="single" w:sz="4" w:space="0" w:color="000000"/>
              <w:left w:val="nil"/>
              <w:bottom w:val="single" w:sz="4" w:space="0" w:color="000000"/>
              <w:right w:val="single" w:sz="4" w:space="0" w:color="000000"/>
            </w:tcBorders>
            <w:shd w:val="clear" w:color="auto" w:fill="auto"/>
            <w:noWrap/>
            <w:vAlign w:val="bottom"/>
            <w:hideMark/>
          </w:tcPr>
          <w:p w14:paraId="41CBCF22"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single" w:sz="4" w:space="0" w:color="000000"/>
              <w:left w:val="nil"/>
              <w:bottom w:val="single" w:sz="4" w:space="0" w:color="000000"/>
              <w:right w:val="single" w:sz="4" w:space="0" w:color="000000"/>
            </w:tcBorders>
            <w:shd w:val="clear" w:color="auto" w:fill="auto"/>
            <w:noWrap/>
            <w:vAlign w:val="bottom"/>
            <w:hideMark/>
          </w:tcPr>
          <w:p w14:paraId="42D617B4"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339.329,52 + IVA 22% </w:t>
            </w:r>
          </w:p>
        </w:tc>
      </w:tr>
      <w:tr w:rsidR="00135A41" w14:paraId="04D25E3B" w14:textId="77777777" w:rsidTr="00861B7A">
        <w:trPr>
          <w:trHeight w:val="53"/>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hideMark/>
          </w:tcPr>
          <w:p w14:paraId="14797908"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19</w:t>
            </w:r>
          </w:p>
        </w:tc>
        <w:tc>
          <w:tcPr>
            <w:tcW w:w="4789" w:type="dxa"/>
            <w:tcBorders>
              <w:top w:val="nil"/>
              <w:left w:val="nil"/>
              <w:bottom w:val="single" w:sz="4" w:space="0" w:color="000000"/>
              <w:right w:val="single" w:sz="4" w:space="0" w:color="000000"/>
            </w:tcBorders>
            <w:shd w:val="clear" w:color="auto" w:fill="auto"/>
            <w:noWrap/>
            <w:vAlign w:val="bottom"/>
            <w:hideMark/>
          </w:tcPr>
          <w:p w14:paraId="1324D910"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ASILO NIDO PIETRO MICCA</w:t>
            </w:r>
          </w:p>
        </w:tc>
        <w:tc>
          <w:tcPr>
            <w:tcW w:w="840" w:type="dxa"/>
            <w:tcBorders>
              <w:top w:val="nil"/>
              <w:left w:val="nil"/>
              <w:bottom w:val="single" w:sz="4" w:space="0" w:color="000000"/>
              <w:right w:val="single" w:sz="4" w:space="0" w:color="000000"/>
            </w:tcBorders>
            <w:shd w:val="clear" w:color="auto" w:fill="auto"/>
            <w:noWrap/>
            <w:vAlign w:val="bottom"/>
            <w:hideMark/>
          </w:tcPr>
          <w:p w14:paraId="07A7F449"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hideMark/>
          </w:tcPr>
          <w:p w14:paraId="51535435"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333.900,16 ESENTE IVA </w:t>
            </w:r>
          </w:p>
        </w:tc>
      </w:tr>
      <w:tr w:rsidR="00135A41" w14:paraId="41259953" w14:textId="77777777" w:rsidTr="00861B7A">
        <w:trPr>
          <w:trHeight w:val="30"/>
          <w:jc w:val="center"/>
        </w:trPr>
        <w:tc>
          <w:tcPr>
            <w:tcW w:w="320" w:type="dxa"/>
            <w:tcBorders>
              <w:top w:val="nil"/>
              <w:left w:val="single" w:sz="4" w:space="0" w:color="000000"/>
              <w:bottom w:val="single" w:sz="4" w:space="0" w:color="000000"/>
              <w:right w:val="single" w:sz="4" w:space="0" w:color="000000"/>
            </w:tcBorders>
            <w:shd w:val="clear" w:color="auto" w:fill="auto"/>
            <w:noWrap/>
            <w:vAlign w:val="bottom"/>
          </w:tcPr>
          <w:p w14:paraId="1575C345"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20</w:t>
            </w:r>
          </w:p>
        </w:tc>
        <w:tc>
          <w:tcPr>
            <w:tcW w:w="4789" w:type="dxa"/>
            <w:tcBorders>
              <w:top w:val="nil"/>
              <w:left w:val="nil"/>
              <w:bottom w:val="single" w:sz="4" w:space="0" w:color="000000"/>
              <w:right w:val="single" w:sz="4" w:space="0" w:color="000000"/>
            </w:tcBorders>
            <w:shd w:val="clear" w:color="auto" w:fill="auto"/>
            <w:noWrap/>
            <w:vAlign w:val="bottom"/>
          </w:tcPr>
          <w:p w14:paraId="61D0ECA1"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MANUTENZIONE IMMOBILI COMUNALI</w:t>
            </w:r>
          </w:p>
        </w:tc>
        <w:tc>
          <w:tcPr>
            <w:tcW w:w="840" w:type="dxa"/>
            <w:tcBorders>
              <w:top w:val="nil"/>
              <w:left w:val="nil"/>
              <w:bottom w:val="single" w:sz="4" w:space="0" w:color="000000"/>
              <w:right w:val="single" w:sz="4" w:space="0" w:color="000000"/>
            </w:tcBorders>
            <w:shd w:val="clear" w:color="auto" w:fill="auto"/>
            <w:noWrap/>
            <w:vAlign w:val="bottom"/>
          </w:tcPr>
          <w:p w14:paraId="2712D008"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31/12/2018</w:t>
            </w:r>
          </w:p>
        </w:tc>
        <w:tc>
          <w:tcPr>
            <w:tcW w:w="2812" w:type="dxa"/>
            <w:tcBorders>
              <w:top w:val="nil"/>
              <w:left w:val="nil"/>
              <w:bottom w:val="single" w:sz="4" w:space="0" w:color="000000"/>
              <w:right w:val="single" w:sz="4" w:space="0" w:color="000000"/>
            </w:tcBorders>
            <w:shd w:val="clear" w:color="auto" w:fill="auto"/>
            <w:noWrap/>
            <w:vAlign w:val="bottom"/>
          </w:tcPr>
          <w:p w14:paraId="17C379D5"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338.998,80 + IVA 22%</w:t>
            </w:r>
          </w:p>
        </w:tc>
      </w:tr>
      <w:tr w:rsidR="00135A41" w14:paraId="04BDBEED" w14:textId="77777777" w:rsidTr="00861B7A">
        <w:trPr>
          <w:trHeight w:val="30"/>
          <w:jc w:val="center"/>
        </w:trPr>
        <w:tc>
          <w:tcPr>
            <w:tcW w:w="3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77E0CA"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21</w:t>
            </w:r>
          </w:p>
        </w:tc>
        <w:tc>
          <w:tcPr>
            <w:tcW w:w="4789" w:type="dxa"/>
            <w:tcBorders>
              <w:top w:val="single" w:sz="4" w:space="0" w:color="auto"/>
              <w:left w:val="nil"/>
              <w:bottom w:val="single" w:sz="4" w:space="0" w:color="auto"/>
              <w:right w:val="single" w:sz="4" w:space="0" w:color="auto"/>
            </w:tcBorders>
            <w:shd w:val="clear" w:color="auto" w:fill="auto"/>
            <w:noWrap/>
            <w:vAlign w:val="bottom"/>
            <w:hideMark/>
          </w:tcPr>
          <w:p w14:paraId="43F784D7" w14:textId="77777777" w:rsidR="00135A41" w:rsidRPr="00861B7A" w:rsidRDefault="00135A41" w:rsidP="00135A41">
            <w:pPr>
              <w:spacing w:after="0" w:line="240" w:lineRule="auto"/>
              <w:rPr>
                <w:rFonts w:ascii="Times New Roman" w:hAnsi="Times New Roman"/>
                <w:color w:val="000000"/>
                <w:sz w:val="16"/>
                <w:szCs w:val="16"/>
              </w:rPr>
            </w:pPr>
            <w:r w:rsidRPr="00861B7A">
              <w:rPr>
                <w:rFonts w:ascii="Times New Roman" w:hAnsi="Times New Roman"/>
                <w:color w:val="000000"/>
                <w:sz w:val="16"/>
                <w:szCs w:val="16"/>
              </w:rPr>
              <w:t>LUDOTECA</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14:paraId="09B015AF" w14:textId="77777777" w:rsidR="00135A41" w:rsidRPr="00861B7A" w:rsidRDefault="00135A41" w:rsidP="00135A41">
            <w:pPr>
              <w:spacing w:after="0" w:line="240" w:lineRule="auto"/>
              <w:jc w:val="center"/>
              <w:rPr>
                <w:rFonts w:ascii="Times New Roman" w:hAnsi="Times New Roman"/>
                <w:color w:val="000000"/>
                <w:sz w:val="16"/>
                <w:szCs w:val="16"/>
              </w:rPr>
            </w:pPr>
            <w:r w:rsidRPr="00861B7A">
              <w:rPr>
                <w:rFonts w:ascii="Times New Roman" w:hAnsi="Times New Roman"/>
                <w:color w:val="000000"/>
                <w:sz w:val="16"/>
                <w:szCs w:val="16"/>
              </w:rPr>
              <w:t>32/12/2018</w:t>
            </w:r>
          </w:p>
        </w:tc>
        <w:tc>
          <w:tcPr>
            <w:tcW w:w="2812" w:type="dxa"/>
            <w:tcBorders>
              <w:top w:val="single" w:sz="4" w:space="0" w:color="auto"/>
              <w:left w:val="nil"/>
              <w:bottom w:val="single" w:sz="4" w:space="0" w:color="auto"/>
              <w:right w:val="single" w:sz="4" w:space="0" w:color="auto"/>
            </w:tcBorders>
            <w:shd w:val="clear" w:color="auto" w:fill="auto"/>
            <w:noWrap/>
            <w:vAlign w:val="bottom"/>
            <w:hideMark/>
          </w:tcPr>
          <w:p w14:paraId="433C8B6D" w14:textId="77777777" w:rsidR="00135A41" w:rsidRPr="00861B7A" w:rsidRDefault="00135A41" w:rsidP="00135A41">
            <w:pPr>
              <w:spacing w:after="0" w:line="240" w:lineRule="auto"/>
              <w:jc w:val="right"/>
              <w:rPr>
                <w:rFonts w:ascii="Times New Roman" w:hAnsi="Times New Roman"/>
                <w:color w:val="000000"/>
                <w:sz w:val="16"/>
                <w:szCs w:val="16"/>
              </w:rPr>
            </w:pPr>
            <w:r w:rsidRPr="00861B7A">
              <w:rPr>
                <w:rFonts w:ascii="Times New Roman" w:hAnsi="Times New Roman"/>
                <w:color w:val="000000"/>
                <w:sz w:val="16"/>
                <w:szCs w:val="16"/>
              </w:rPr>
              <w:t xml:space="preserve"> 3.200,00 OLTRE IVA 22% </w:t>
            </w:r>
          </w:p>
        </w:tc>
      </w:tr>
    </w:tbl>
    <w:p w14:paraId="797BEDB4" w14:textId="77777777" w:rsidR="00812F45" w:rsidRPr="006672EF" w:rsidRDefault="006F6852" w:rsidP="0018644F">
      <w:pPr>
        <w:pStyle w:val="Corpodeltesto2"/>
        <w:spacing w:before="60" w:after="0"/>
        <w:ind w:right="0"/>
        <w:rPr>
          <w:rFonts w:ascii="Times New Roman" w:eastAsia="MS Mincho" w:hAnsi="Times New Roman" w:cs="Times New Roman"/>
          <w:sz w:val="20"/>
          <w:szCs w:val="20"/>
        </w:rPr>
      </w:pPr>
      <w:r w:rsidRPr="006672EF">
        <w:rPr>
          <w:rFonts w:ascii="Times New Roman" w:eastAsia="MS Mincho" w:hAnsi="Times New Roman" w:cs="Times New Roman"/>
          <w:sz w:val="20"/>
          <w:szCs w:val="20"/>
        </w:rPr>
        <w:t>Ciò premesso, si fa presente che al Comune di Marino, nell’ambito delle competenze attribuite dalle leggi ordinarie e dalle leggi regionali, è attribuita l’attività di progr</w:t>
      </w:r>
      <w:r w:rsidR="00812F45" w:rsidRPr="006672EF">
        <w:rPr>
          <w:rFonts w:ascii="Times New Roman" w:eastAsia="MS Mincho" w:hAnsi="Times New Roman" w:cs="Times New Roman"/>
          <w:sz w:val="20"/>
          <w:szCs w:val="20"/>
        </w:rPr>
        <w:t>ammazione, indirizzo, coordiname</w:t>
      </w:r>
      <w:r w:rsidRPr="006672EF">
        <w:rPr>
          <w:rFonts w:ascii="Times New Roman" w:eastAsia="MS Mincho" w:hAnsi="Times New Roman" w:cs="Times New Roman"/>
          <w:sz w:val="20"/>
          <w:szCs w:val="20"/>
        </w:rPr>
        <w:t xml:space="preserve">nto e controllo dell’intero </w:t>
      </w:r>
      <w:r w:rsidR="00812F45" w:rsidRPr="006672EF">
        <w:rPr>
          <w:rFonts w:ascii="Times New Roman" w:eastAsia="MS Mincho" w:hAnsi="Times New Roman" w:cs="Times New Roman"/>
          <w:sz w:val="20"/>
          <w:szCs w:val="20"/>
        </w:rPr>
        <w:t>sistema di servizi erogati.</w:t>
      </w:r>
    </w:p>
    <w:p w14:paraId="1152D3B8" w14:textId="77777777" w:rsidR="0018644F" w:rsidRPr="006672EF" w:rsidRDefault="00812F45" w:rsidP="00135A41">
      <w:pPr>
        <w:pStyle w:val="Corpodeltesto2"/>
        <w:spacing w:before="0" w:after="0"/>
        <w:ind w:right="0"/>
        <w:rPr>
          <w:rFonts w:ascii="Times New Roman" w:eastAsia="MS Mincho" w:hAnsi="Times New Roman" w:cs="Times New Roman"/>
          <w:sz w:val="20"/>
          <w:szCs w:val="20"/>
        </w:rPr>
      </w:pPr>
      <w:r w:rsidRPr="006672EF">
        <w:rPr>
          <w:rFonts w:ascii="Times New Roman" w:eastAsia="MS Mincho" w:hAnsi="Times New Roman" w:cs="Times New Roman"/>
          <w:sz w:val="20"/>
          <w:szCs w:val="20"/>
        </w:rPr>
        <w:t>Il Comune di Marino potrà inviare, in qualsiasi momento, atti di indirizzo vincolanti per la società ovver</w:t>
      </w:r>
      <w:r w:rsidR="0018644F" w:rsidRPr="006672EF">
        <w:rPr>
          <w:rFonts w:ascii="Times New Roman" w:eastAsia="MS Mincho" w:hAnsi="Times New Roman" w:cs="Times New Roman"/>
          <w:sz w:val="20"/>
          <w:szCs w:val="20"/>
        </w:rPr>
        <w:t>o linee di indirizzi al fine di garantire la massima efficienza ed economicità della Società, le strategie e le politiche aziendali.</w:t>
      </w:r>
    </w:p>
    <w:p w14:paraId="34F1B476" w14:textId="32D4C6C0" w:rsidR="006F6852" w:rsidRPr="006672EF" w:rsidRDefault="0018644F" w:rsidP="00135A41">
      <w:pPr>
        <w:pStyle w:val="Corpodeltesto2"/>
        <w:spacing w:before="0" w:after="0"/>
        <w:ind w:right="0"/>
        <w:rPr>
          <w:rFonts w:ascii="Times New Roman" w:eastAsia="MS Mincho" w:hAnsi="Times New Roman" w:cs="Times New Roman"/>
          <w:sz w:val="20"/>
          <w:szCs w:val="20"/>
        </w:rPr>
      </w:pPr>
      <w:r w:rsidRPr="006672EF">
        <w:rPr>
          <w:rFonts w:ascii="Times New Roman" w:eastAsia="MS Mincho" w:hAnsi="Times New Roman" w:cs="Times New Roman"/>
          <w:sz w:val="20"/>
          <w:szCs w:val="20"/>
        </w:rPr>
        <w:t>La Multiservizi dei Castelli di Marino S.p.A. ha adottato un sistema di Governance tradizionale, adottando la seguente ripartizione organica:</w:t>
      </w:r>
    </w:p>
    <w:p w14:paraId="1066AC08" w14:textId="56C6107A" w:rsidR="0018644F" w:rsidRPr="006672EF" w:rsidRDefault="0018644F" w:rsidP="00135A41">
      <w:pPr>
        <w:pStyle w:val="Corpodeltesto2"/>
        <w:spacing w:before="0" w:after="0"/>
        <w:ind w:right="0"/>
        <w:rPr>
          <w:rFonts w:ascii="Times New Roman" w:eastAsia="MS Mincho" w:hAnsi="Times New Roman" w:cs="Times New Roman"/>
          <w:b/>
          <w:sz w:val="20"/>
          <w:szCs w:val="20"/>
        </w:rPr>
      </w:pPr>
      <w:r w:rsidRPr="006672EF">
        <w:rPr>
          <w:rFonts w:ascii="Times New Roman" w:eastAsia="MS Mincho" w:hAnsi="Times New Roman" w:cs="Times New Roman"/>
          <w:b/>
          <w:sz w:val="20"/>
          <w:szCs w:val="20"/>
        </w:rPr>
        <w:t>A) Assemblea</w:t>
      </w:r>
      <w:r w:rsidR="006672EF" w:rsidRPr="006672EF">
        <w:rPr>
          <w:rFonts w:ascii="Times New Roman" w:eastAsia="MS Mincho" w:hAnsi="Times New Roman" w:cs="Times New Roman"/>
          <w:b/>
          <w:sz w:val="20"/>
          <w:szCs w:val="20"/>
        </w:rPr>
        <w:t>;</w:t>
      </w:r>
    </w:p>
    <w:p w14:paraId="2BFA001D" w14:textId="0780A815" w:rsidR="0018644F" w:rsidRPr="006672EF" w:rsidRDefault="0018644F" w:rsidP="00135A41">
      <w:pPr>
        <w:pStyle w:val="Corpodeltesto2"/>
        <w:spacing w:before="0" w:after="0"/>
        <w:ind w:right="0"/>
        <w:rPr>
          <w:rFonts w:ascii="Times New Roman" w:eastAsia="MS Mincho" w:hAnsi="Times New Roman" w:cs="Times New Roman"/>
          <w:b/>
          <w:sz w:val="20"/>
          <w:szCs w:val="20"/>
        </w:rPr>
      </w:pPr>
      <w:r w:rsidRPr="006672EF">
        <w:rPr>
          <w:rFonts w:ascii="Times New Roman" w:eastAsia="MS Mincho" w:hAnsi="Times New Roman" w:cs="Times New Roman"/>
          <w:b/>
          <w:sz w:val="20"/>
          <w:szCs w:val="20"/>
        </w:rPr>
        <w:t>B) Amministratore Unico - Dott. Walter Bravetti</w:t>
      </w:r>
      <w:r w:rsidR="006672EF" w:rsidRPr="006672EF">
        <w:rPr>
          <w:rFonts w:ascii="Times New Roman" w:eastAsia="MS Mincho" w:hAnsi="Times New Roman" w:cs="Times New Roman"/>
          <w:b/>
          <w:sz w:val="20"/>
          <w:szCs w:val="20"/>
        </w:rPr>
        <w:t>;</w:t>
      </w:r>
      <w:r w:rsidRPr="006672EF">
        <w:rPr>
          <w:rFonts w:ascii="Times New Roman" w:eastAsia="MS Mincho" w:hAnsi="Times New Roman" w:cs="Times New Roman"/>
          <w:b/>
          <w:sz w:val="20"/>
          <w:szCs w:val="20"/>
        </w:rPr>
        <w:t xml:space="preserve"> </w:t>
      </w:r>
    </w:p>
    <w:p w14:paraId="17A6C5E0" w14:textId="2775352B" w:rsidR="0018644F" w:rsidRPr="006672EF" w:rsidRDefault="0018644F" w:rsidP="00135A41">
      <w:pPr>
        <w:pStyle w:val="Corpodeltesto2"/>
        <w:spacing w:before="0" w:after="0"/>
        <w:ind w:right="0"/>
        <w:rPr>
          <w:rFonts w:ascii="Times New Roman" w:eastAsia="MS Mincho" w:hAnsi="Times New Roman" w:cs="Times New Roman"/>
          <w:b/>
          <w:sz w:val="20"/>
          <w:szCs w:val="20"/>
        </w:rPr>
      </w:pPr>
      <w:r w:rsidRPr="006672EF">
        <w:rPr>
          <w:rFonts w:ascii="Times New Roman" w:eastAsia="MS Mincho" w:hAnsi="Times New Roman" w:cs="Times New Roman"/>
          <w:b/>
          <w:sz w:val="20"/>
          <w:szCs w:val="20"/>
        </w:rPr>
        <w:t>C) Direttore Generale - Dott. Michele Bernardini</w:t>
      </w:r>
      <w:r w:rsidR="006672EF" w:rsidRPr="006672EF">
        <w:rPr>
          <w:rFonts w:ascii="Times New Roman" w:eastAsia="MS Mincho" w:hAnsi="Times New Roman" w:cs="Times New Roman"/>
          <w:b/>
          <w:sz w:val="20"/>
          <w:szCs w:val="20"/>
        </w:rPr>
        <w:t>;</w:t>
      </w:r>
    </w:p>
    <w:p w14:paraId="3AFD3681" w14:textId="7E3AD29C" w:rsidR="0018644F" w:rsidRPr="006672EF" w:rsidRDefault="0018644F" w:rsidP="006672EF">
      <w:pPr>
        <w:pStyle w:val="Corpodeltesto2"/>
        <w:spacing w:before="0" w:after="0"/>
        <w:ind w:right="0"/>
        <w:rPr>
          <w:rFonts w:ascii="Times New Roman" w:hAnsi="Times New Roman" w:cs="Times New Roman"/>
          <w:b/>
          <w:bCs/>
          <w:sz w:val="20"/>
          <w:szCs w:val="20"/>
          <w:bdr w:val="none" w:sz="0" w:space="0" w:color="auto" w:frame="1"/>
        </w:rPr>
      </w:pPr>
      <w:r w:rsidRPr="006672EF">
        <w:rPr>
          <w:rFonts w:ascii="Times New Roman" w:eastAsia="MS Mincho" w:hAnsi="Times New Roman" w:cs="Times New Roman"/>
          <w:b/>
          <w:sz w:val="20"/>
          <w:szCs w:val="20"/>
        </w:rPr>
        <w:t xml:space="preserve">D) </w:t>
      </w:r>
      <w:r w:rsidR="006672EF" w:rsidRPr="006672EF">
        <w:rPr>
          <w:rFonts w:ascii="Times New Roman" w:eastAsia="MS Mincho" w:hAnsi="Times New Roman" w:cs="Times New Roman"/>
          <w:b/>
          <w:sz w:val="20"/>
          <w:szCs w:val="20"/>
        </w:rPr>
        <w:t xml:space="preserve">Collegio Sindacale - </w:t>
      </w:r>
      <w:r w:rsidRPr="0018644F">
        <w:rPr>
          <w:rFonts w:ascii="Times New Roman" w:hAnsi="Times New Roman" w:cs="Times New Roman"/>
          <w:sz w:val="20"/>
          <w:szCs w:val="20"/>
        </w:rPr>
        <w:t>Presidente: </w:t>
      </w:r>
      <w:r w:rsidRPr="006672EF">
        <w:rPr>
          <w:rFonts w:ascii="Times New Roman" w:hAnsi="Times New Roman" w:cs="Times New Roman"/>
          <w:b/>
          <w:bCs/>
          <w:sz w:val="20"/>
          <w:szCs w:val="20"/>
          <w:bdr w:val="none" w:sz="0" w:space="0" w:color="auto" w:frame="1"/>
        </w:rPr>
        <w:t>Dott.ssa Gobbo Antonella</w:t>
      </w:r>
      <w:r w:rsidR="006672EF" w:rsidRPr="006672EF">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Dott. Violetti Roberto</w:t>
      </w:r>
      <w:r w:rsidR="006672EF" w:rsidRPr="006672EF">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Dott. Vespa Antonio</w:t>
      </w:r>
      <w:r w:rsidR="006672EF" w:rsidRPr="006672EF">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Supplente: </w:t>
      </w:r>
      <w:r w:rsidRPr="006672EF">
        <w:rPr>
          <w:rFonts w:ascii="Times New Roman" w:hAnsi="Times New Roman" w:cs="Times New Roman"/>
          <w:b/>
          <w:bCs/>
          <w:sz w:val="20"/>
          <w:szCs w:val="20"/>
          <w:bdr w:val="none" w:sz="0" w:space="0" w:color="auto" w:frame="1"/>
        </w:rPr>
        <w:t>Dott.ssa Pelli Romina</w:t>
      </w:r>
      <w:r w:rsidR="006672EF" w:rsidRPr="006672EF">
        <w:rPr>
          <w:rFonts w:ascii="Times New Roman" w:hAnsi="Times New Roman" w:cs="Times New Roman"/>
          <w:b/>
          <w:bCs/>
          <w:sz w:val="20"/>
          <w:szCs w:val="20"/>
          <w:bdr w:val="none" w:sz="0" w:space="0" w:color="auto" w:frame="1"/>
        </w:rPr>
        <w:t xml:space="preserve"> e </w:t>
      </w:r>
      <w:r w:rsidRPr="0018644F">
        <w:rPr>
          <w:rFonts w:ascii="Times New Roman" w:hAnsi="Times New Roman" w:cs="Times New Roman"/>
          <w:sz w:val="20"/>
          <w:szCs w:val="20"/>
        </w:rPr>
        <w:t>Supplente: </w:t>
      </w:r>
      <w:r w:rsidR="006672EF" w:rsidRPr="006672EF">
        <w:rPr>
          <w:rFonts w:ascii="Times New Roman" w:hAnsi="Times New Roman" w:cs="Times New Roman"/>
          <w:b/>
          <w:bCs/>
          <w:sz w:val="20"/>
          <w:szCs w:val="20"/>
          <w:bdr w:val="none" w:sz="0" w:space="0" w:color="auto" w:frame="1"/>
        </w:rPr>
        <w:t>Dott. Zacà</w:t>
      </w:r>
      <w:r w:rsidRPr="006672EF">
        <w:rPr>
          <w:rFonts w:ascii="Times New Roman" w:hAnsi="Times New Roman" w:cs="Times New Roman"/>
          <w:b/>
          <w:bCs/>
          <w:sz w:val="20"/>
          <w:szCs w:val="20"/>
          <w:bdr w:val="none" w:sz="0" w:space="0" w:color="auto" w:frame="1"/>
        </w:rPr>
        <w:t xml:space="preserve"> Alessandro</w:t>
      </w:r>
      <w:r w:rsidR="006672EF" w:rsidRPr="006672EF">
        <w:rPr>
          <w:rFonts w:ascii="Times New Roman" w:hAnsi="Times New Roman" w:cs="Times New Roman"/>
          <w:b/>
          <w:bCs/>
          <w:sz w:val="20"/>
          <w:szCs w:val="20"/>
          <w:bdr w:val="none" w:sz="0" w:space="0" w:color="auto" w:frame="1"/>
        </w:rPr>
        <w:t>;</w:t>
      </w:r>
    </w:p>
    <w:p w14:paraId="5A3189AD" w14:textId="6AEA2E3D" w:rsidR="006672EF" w:rsidRDefault="006672EF" w:rsidP="006672EF">
      <w:pPr>
        <w:pStyle w:val="Corpodeltesto2"/>
        <w:spacing w:before="0" w:after="0"/>
        <w:ind w:right="0"/>
        <w:rPr>
          <w:rFonts w:ascii="Times New Roman" w:eastAsia="MS Mincho" w:hAnsi="Times New Roman" w:cs="Times New Roman"/>
          <w:b/>
          <w:sz w:val="20"/>
          <w:szCs w:val="20"/>
        </w:rPr>
      </w:pPr>
      <w:r w:rsidRPr="006672EF">
        <w:rPr>
          <w:rFonts w:ascii="Times New Roman" w:hAnsi="Times New Roman" w:cs="Times New Roman"/>
          <w:b/>
          <w:bCs/>
          <w:sz w:val="20"/>
          <w:szCs w:val="20"/>
          <w:bdr w:val="none" w:sz="0" w:space="0" w:color="auto" w:frame="1"/>
        </w:rPr>
        <w:t xml:space="preserve">E) Organismo di Vigilanza </w:t>
      </w:r>
      <w:r w:rsidRPr="006672EF">
        <w:rPr>
          <w:rFonts w:ascii="Times New Roman" w:eastAsia="MS Mincho" w:hAnsi="Times New Roman" w:cs="Times New Roman"/>
          <w:b/>
          <w:sz w:val="20"/>
          <w:szCs w:val="20"/>
        </w:rPr>
        <w:t>- Dott. Walter Bravetti.</w:t>
      </w:r>
    </w:p>
    <w:p w14:paraId="34FCC336" w14:textId="2289F442" w:rsidR="0041793E" w:rsidRPr="0041793E" w:rsidRDefault="0041793E" w:rsidP="006672EF">
      <w:pPr>
        <w:pStyle w:val="Corpodeltesto2"/>
        <w:spacing w:before="0" w:after="0"/>
        <w:ind w:right="0"/>
        <w:rPr>
          <w:rFonts w:ascii="Times New Roman" w:eastAsia="MS Mincho" w:hAnsi="Times New Roman" w:cs="Times New Roman"/>
          <w:sz w:val="20"/>
          <w:szCs w:val="20"/>
        </w:rPr>
      </w:pPr>
      <w:r w:rsidRPr="0041793E">
        <w:rPr>
          <w:rFonts w:ascii="Times New Roman" w:eastAsia="MS Mincho" w:hAnsi="Times New Roman" w:cs="Times New Roman"/>
          <w:sz w:val="20"/>
          <w:szCs w:val="20"/>
        </w:rPr>
        <w:t xml:space="preserve">L’attuale assetto organizzativo è rappresentato nell’organigramma </w:t>
      </w:r>
      <w:r w:rsidR="0084697D">
        <w:rPr>
          <w:rFonts w:ascii="Times New Roman" w:eastAsia="MS Mincho" w:hAnsi="Times New Roman" w:cs="Times New Roman"/>
          <w:sz w:val="20"/>
          <w:szCs w:val="20"/>
        </w:rPr>
        <w:t xml:space="preserve">di </w:t>
      </w:r>
      <w:r w:rsidR="0084697D" w:rsidRPr="00947C6A">
        <w:rPr>
          <w:rFonts w:ascii="Times New Roman" w:eastAsia="MS Mincho" w:hAnsi="Times New Roman" w:cs="Times New Roman"/>
          <w:sz w:val="20"/>
          <w:szCs w:val="20"/>
        </w:rPr>
        <w:t>cui all’</w:t>
      </w:r>
      <w:r w:rsidR="0084697D" w:rsidRPr="00947C6A">
        <w:rPr>
          <w:rFonts w:ascii="Times New Roman" w:eastAsia="MS Mincho" w:hAnsi="Times New Roman" w:cs="Times New Roman"/>
          <w:b/>
          <w:sz w:val="20"/>
          <w:szCs w:val="20"/>
        </w:rPr>
        <w:t>Allegato 0</w:t>
      </w:r>
    </w:p>
    <w:p w14:paraId="559FEC32" w14:textId="69ABEC41" w:rsidR="0041793E" w:rsidRDefault="0041793E" w:rsidP="00D7297B">
      <w:pPr>
        <w:pStyle w:val="Corpodeltesto2"/>
        <w:spacing w:before="0" w:after="60"/>
        <w:ind w:right="0"/>
        <w:rPr>
          <w:rFonts w:ascii="Times New Roman" w:eastAsia="MS Mincho" w:hAnsi="Times New Roman" w:cs="Times New Roman"/>
          <w:sz w:val="20"/>
          <w:szCs w:val="20"/>
        </w:rPr>
      </w:pPr>
      <w:r>
        <w:rPr>
          <w:rFonts w:ascii="Times New Roman" w:eastAsia="MS Mincho" w:hAnsi="Times New Roman" w:cs="Times New Roman"/>
          <w:sz w:val="20"/>
          <w:szCs w:val="20"/>
        </w:rPr>
        <w:t xml:space="preserve">I dipendenti della società sono, alla data del 31 dicembre 2018, numero 231 unità. Nella </w:t>
      </w:r>
      <w:r w:rsidRPr="0041793E">
        <w:rPr>
          <w:rFonts w:ascii="Times New Roman" w:eastAsia="MS Mincho" w:hAnsi="Times New Roman" w:cs="Times New Roman"/>
          <w:b/>
          <w:sz w:val="20"/>
          <w:szCs w:val="20"/>
        </w:rPr>
        <w:t>Tabella 2</w:t>
      </w:r>
      <w:r>
        <w:rPr>
          <w:rFonts w:ascii="Times New Roman" w:eastAsia="MS Mincho" w:hAnsi="Times New Roman" w:cs="Times New Roman"/>
          <w:sz w:val="20"/>
          <w:szCs w:val="20"/>
        </w:rPr>
        <w:t xml:space="preserve"> viene evidenziata la suddivisone dei dipendenti per inquadramento contrattuale:</w:t>
      </w:r>
    </w:p>
    <w:tbl>
      <w:tblPr>
        <w:tblStyle w:val="Grigliatabella"/>
        <w:tblW w:w="0" w:type="auto"/>
        <w:tblInd w:w="279" w:type="dxa"/>
        <w:tblLook w:val="04A0" w:firstRow="1" w:lastRow="0" w:firstColumn="1" w:lastColumn="0" w:noHBand="0" w:noVBand="1"/>
      </w:tblPr>
      <w:tblGrid>
        <w:gridCol w:w="2741"/>
        <w:gridCol w:w="3020"/>
        <w:gridCol w:w="2886"/>
      </w:tblGrid>
      <w:tr w:rsidR="0041793E" w14:paraId="03A26B71" w14:textId="77777777" w:rsidTr="00D7297B">
        <w:tc>
          <w:tcPr>
            <w:tcW w:w="8647" w:type="dxa"/>
            <w:gridSpan w:val="3"/>
            <w:tcBorders>
              <w:bottom w:val="single" w:sz="4" w:space="0" w:color="auto"/>
            </w:tcBorders>
            <w:shd w:val="clear" w:color="auto" w:fill="FFFF00"/>
          </w:tcPr>
          <w:p w14:paraId="73E06C2A" w14:textId="7D24F918" w:rsidR="0041793E" w:rsidRPr="00D7297B" w:rsidRDefault="0041793E" w:rsidP="0041793E">
            <w:pPr>
              <w:pStyle w:val="Corpodeltesto2"/>
              <w:spacing w:before="0" w:after="0"/>
              <w:ind w:right="0"/>
              <w:jc w:val="center"/>
              <w:rPr>
                <w:rFonts w:ascii="Times New Roman" w:eastAsia="MS Mincho" w:hAnsi="Times New Roman" w:cs="Times New Roman"/>
                <w:b/>
                <w:sz w:val="18"/>
                <w:szCs w:val="18"/>
              </w:rPr>
            </w:pPr>
            <w:r w:rsidRPr="00D7297B">
              <w:rPr>
                <w:rFonts w:ascii="Times New Roman" w:eastAsia="MS Mincho" w:hAnsi="Times New Roman" w:cs="Times New Roman"/>
                <w:b/>
                <w:sz w:val="18"/>
                <w:szCs w:val="18"/>
              </w:rPr>
              <w:t>Tabella 2: I dipendenti Multiservizi dei Castelli di Marino S.p.A. suddivisi per inquadramento contrattuale</w:t>
            </w:r>
          </w:p>
        </w:tc>
      </w:tr>
      <w:tr w:rsidR="0041793E" w14:paraId="0A970C50" w14:textId="77777777" w:rsidTr="00D7297B">
        <w:tc>
          <w:tcPr>
            <w:tcW w:w="2741" w:type="dxa"/>
            <w:shd w:val="clear" w:color="auto" w:fill="00B0F0"/>
          </w:tcPr>
          <w:p w14:paraId="09007BFC" w14:textId="2AF0B2E0" w:rsidR="0041793E" w:rsidRDefault="00D7297B" w:rsidP="00D7297B">
            <w:pPr>
              <w:pStyle w:val="Corpodeltesto2"/>
              <w:spacing w:before="0" w:after="0"/>
              <w:ind w:right="0"/>
              <w:jc w:val="center"/>
              <w:rPr>
                <w:rFonts w:ascii="Times New Roman" w:eastAsia="MS Mincho" w:hAnsi="Times New Roman" w:cs="Times New Roman"/>
                <w:sz w:val="20"/>
                <w:szCs w:val="20"/>
              </w:rPr>
            </w:pPr>
            <w:r>
              <w:rPr>
                <w:rFonts w:ascii="Times New Roman" w:eastAsia="MS Mincho" w:hAnsi="Times New Roman" w:cs="Times New Roman"/>
                <w:sz w:val="20"/>
                <w:szCs w:val="20"/>
              </w:rPr>
              <w:t>Inquadramento</w:t>
            </w:r>
          </w:p>
        </w:tc>
        <w:tc>
          <w:tcPr>
            <w:tcW w:w="3020" w:type="dxa"/>
            <w:shd w:val="clear" w:color="auto" w:fill="00B0F0"/>
          </w:tcPr>
          <w:p w14:paraId="72A13348" w14:textId="2B38AE4F" w:rsidR="0041793E" w:rsidRDefault="00D7297B" w:rsidP="00D7297B">
            <w:pPr>
              <w:pStyle w:val="Corpodeltesto2"/>
              <w:spacing w:before="0" w:after="0"/>
              <w:ind w:right="0"/>
              <w:jc w:val="center"/>
              <w:rPr>
                <w:rFonts w:ascii="Times New Roman" w:eastAsia="MS Mincho" w:hAnsi="Times New Roman" w:cs="Times New Roman"/>
                <w:sz w:val="20"/>
                <w:szCs w:val="20"/>
              </w:rPr>
            </w:pPr>
            <w:r>
              <w:rPr>
                <w:rFonts w:ascii="Times New Roman" w:eastAsia="MS Mincho" w:hAnsi="Times New Roman" w:cs="Times New Roman"/>
                <w:sz w:val="20"/>
                <w:szCs w:val="20"/>
              </w:rPr>
              <w:t>Numero</w:t>
            </w:r>
          </w:p>
        </w:tc>
        <w:tc>
          <w:tcPr>
            <w:tcW w:w="2886" w:type="dxa"/>
            <w:shd w:val="clear" w:color="auto" w:fill="00B0F0"/>
          </w:tcPr>
          <w:p w14:paraId="2D394EF6" w14:textId="4BF47B52" w:rsidR="0041793E" w:rsidRDefault="00D7297B" w:rsidP="00D7297B">
            <w:pPr>
              <w:pStyle w:val="Corpodeltesto2"/>
              <w:spacing w:before="0" w:after="0"/>
              <w:ind w:right="0"/>
              <w:jc w:val="center"/>
              <w:rPr>
                <w:rFonts w:ascii="Times New Roman" w:eastAsia="MS Mincho" w:hAnsi="Times New Roman" w:cs="Times New Roman"/>
                <w:sz w:val="20"/>
                <w:szCs w:val="20"/>
              </w:rPr>
            </w:pPr>
            <w:r>
              <w:rPr>
                <w:rFonts w:ascii="Times New Roman" w:eastAsia="MS Mincho" w:hAnsi="Times New Roman" w:cs="Times New Roman"/>
                <w:sz w:val="20"/>
                <w:szCs w:val="20"/>
              </w:rPr>
              <w:t>Full Time/Part Time</w:t>
            </w:r>
          </w:p>
        </w:tc>
      </w:tr>
      <w:tr w:rsidR="00D7297B" w14:paraId="05CE4972" w14:textId="77777777" w:rsidTr="00D7297B">
        <w:tc>
          <w:tcPr>
            <w:tcW w:w="2741" w:type="dxa"/>
          </w:tcPr>
          <w:p w14:paraId="1553B25C" w14:textId="722EA20D"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p>
        </w:tc>
        <w:tc>
          <w:tcPr>
            <w:tcW w:w="3020" w:type="dxa"/>
          </w:tcPr>
          <w:p w14:paraId="46EE4252" w14:textId="6CD05499"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1</w:t>
            </w:r>
          </w:p>
        </w:tc>
        <w:tc>
          <w:tcPr>
            <w:tcW w:w="2886" w:type="dxa"/>
          </w:tcPr>
          <w:p w14:paraId="3D7327E5" w14:textId="77777777" w:rsidR="00D7297B" w:rsidRPr="00BC3A4A" w:rsidRDefault="00D7297B" w:rsidP="0041793E">
            <w:pPr>
              <w:pStyle w:val="Corpodeltesto2"/>
              <w:spacing w:before="0" w:after="0"/>
              <w:ind w:right="0"/>
              <w:rPr>
                <w:rFonts w:ascii="Times New Roman" w:eastAsia="MS Mincho" w:hAnsi="Times New Roman" w:cs="Times New Roman"/>
                <w:sz w:val="18"/>
                <w:szCs w:val="18"/>
              </w:rPr>
            </w:pPr>
          </w:p>
        </w:tc>
      </w:tr>
      <w:tr w:rsidR="00D7297B" w14:paraId="3686C162" w14:textId="77777777" w:rsidTr="00D7297B">
        <w:tc>
          <w:tcPr>
            <w:tcW w:w="2741" w:type="dxa"/>
          </w:tcPr>
          <w:p w14:paraId="638DCD76" w14:textId="503BEDD0"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Quadri</w:t>
            </w:r>
          </w:p>
        </w:tc>
        <w:tc>
          <w:tcPr>
            <w:tcW w:w="3020" w:type="dxa"/>
          </w:tcPr>
          <w:p w14:paraId="52102512" w14:textId="68B6AD98"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4</w:t>
            </w:r>
          </w:p>
        </w:tc>
        <w:tc>
          <w:tcPr>
            <w:tcW w:w="2886" w:type="dxa"/>
          </w:tcPr>
          <w:p w14:paraId="506B1162" w14:textId="77777777" w:rsidR="00D7297B" w:rsidRPr="00BC3A4A" w:rsidRDefault="00D7297B" w:rsidP="0041793E">
            <w:pPr>
              <w:pStyle w:val="Corpodeltesto2"/>
              <w:spacing w:before="0" w:after="0"/>
              <w:ind w:right="0"/>
              <w:rPr>
                <w:rFonts w:ascii="Times New Roman" w:eastAsia="MS Mincho" w:hAnsi="Times New Roman" w:cs="Times New Roman"/>
                <w:sz w:val="18"/>
                <w:szCs w:val="18"/>
              </w:rPr>
            </w:pPr>
          </w:p>
        </w:tc>
      </w:tr>
      <w:tr w:rsidR="00D7297B" w14:paraId="51826F57" w14:textId="77777777" w:rsidTr="00D7297B">
        <w:tc>
          <w:tcPr>
            <w:tcW w:w="2741" w:type="dxa"/>
            <w:vMerge w:val="restart"/>
            <w:vAlign w:val="center"/>
          </w:tcPr>
          <w:p w14:paraId="2020F139" w14:textId="180EF8AE"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Impiegati</w:t>
            </w:r>
          </w:p>
        </w:tc>
        <w:tc>
          <w:tcPr>
            <w:tcW w:w="3020" w:type="dxa"/>
            <w:vMerge w:val="restart"/>
            <w:vAlign w:val="center"/>
          </w:tcPr>
          <w:p w14:paraId="2AD2CB7C" w14:textId="12DF5CB5"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81</w:t>
            </w:r>
          </w:p>
        </w:tc>
        <w:tc>
          <w:tcPr>
            <w:tcW w:w="2886" w:type="dxa"/>
          </w:tcPr>
          <w:p w14:paraId="73D51B3A" w14:textId="1A514813"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Full Time 32</w:t>
            </w:r>
          </w:p>
        </w:tc>
      </w:tr>
      <w:tr w:rsidR="00D7297B" w14:paraId="77C76F98" w14:textId="77777777" w:rsidTr="00D7297B">
        <w:tc>
          <w:tcPr>
            <w:tcW w:w="2741" w:type="dxa"/>
            <w:vMerge/>
            <w:vAlign w:val="center"/>
          </w:tcPr>
          <w:p w14:paraId="40E4B30D" w14:textId="77777777"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p>
        </w:tc>
        <w:tc>
          <w:tcPr>
            <w:tcW w:w="3020" w:type="dxa"/>
            <w:vMerge/>
            <w:vAlign w:val="center"/>
          </w:tcPr>
          <w:p w14:paraId="20B5DCB5" w14:textId="77777777"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p>
        </w:tc>
        <w:tc>
          <w:tcPr>
            <w:tcW w:w="2886" w:type="dxa"/>
          </w:tcPr>
          <w:p w14:paraId="7BE0BD34" w14:textId="68C03B11"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Part Time 49</w:t>
            </w:r>
          </w:p>
        </w:tc>
      </w:tr>
      <w:tr w:rsidR="00D7297B" w14:paraId="2CB5E1BB" w14:textId="77777777" w:rsidTr="00D7297B">
        <w:tc>
          <w:tcPr>
            <w:tcW w:w="2741" w:type="dxa"/>
            <w:vMerge w:val="restart"/>
            <w:vAlign w:val="center"/>
          </w:tcPr>
          <w:p w14:paraId="1F60D63F" w14:textId="00248B2A"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Operai</w:t>
            </w:r>
          </w:p>
        </w:tc>
        <w:tc>
          <w:tcPr>
            <w:tcW w:w="3020" w:type="dxa"/>
            <w:vMerge w:val="restart"/>
            <w:vAlign w:val="center"/>
          </w:tcPr>
          <w:p w14:paraId="6107EE20" w14:textId="56F8A7B7"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145</w:t>
            </w:r>
          </w:p>
        </w:tc>
        <w:tc>
          <w:tcPr>
            <w:tcW w:w="2886" w:type="dxa"/>
          </w:tcPr>
          <w:p w14:paraId="08472728" w14:textId="458DC229"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Full Time 64</w:t>
            </w:r>
          </w:p>
        </w:tc>
      </w:tr>
      <w:tr w:rsidR="00D7297B" w14:paraId="23B7DD4D" w14:textId="77777777" w:rsidTr="00D7297B">
        <w:tc>
          <w:tcPr>
            <w:tcW w:w="2741" w:type="dxa"/>
            <w:vMerge/>
          </w:tcPr>
          <w:p w14:paraId="05C6387D" w14:textId="77777777" w:rsidR="00D7297B" w:rsidRPr="00BC3A4A" w:rsidRDefault="00D7297B" w:rsidP="00D7297B">
            <w:pPr>
              <w:pStyle w:val="Corpodeltesto2"/>
              <w:spacing w:before="0" w:after="0"/>
              <w:ind w:right="0"/>
              <w:rPr>
                <w:rFonts w:ascii="Times New Roman" w:eastAsia="MS Mincho" w:hAnsi="Times New Roman" w:cs="Times New Roman"/>
                <w:sz w:val="18"/>
                <w:szCs w:val="18"/>
              </w:rPr>
            </w:pPr>
          </w:p>
        </w:tc>
        <w:tc>
          <w:tcPr>
            <w:tcW w:w="3020" w:type="dxa"/>
            <w:vMerge/>
          </w:tcPr>
          <w:p w14:paraId="2071B752" w14:textId="77777777" w:rsidR="00D7297B" w:rsidRPr="00BC3A4A" w:rsidRDefault="00D7297B" w:rsidP="00D7297B">
            <w:pPr>
              <w:pStyle w:val="Corpodeltesto2"/>
              <w:spacing w:before="0" w:after="0"/>
              <w:ind w:right="0"/>
              <w:rPr>
                <w:rFonts w:ascii="Times New Roman" w:eastAsia="MS Mincho" w:hAnsi="Times New Roman" w:cs="Times New Roman"/>
                <w:sz w:val="18"/>
                <w:szCs w:val="18"/>
              </w:rPr>
            </w:pPr>
          </w:p>
        </w:tc>
        <w:tc>
          <w:tcPr>
            <w:tcW w:w="2886" w:type="dxa"/>
          </w:tcPr>
          <w:p w14:paraId="45929701" w14:textId="159C601B" w:rsidR="00D7297B" w:rsidRPr="00BC3A4A" w:rsidRDefault="00D7297B" w:rsidP="00D7297B">
            <w:pPr>
              <w:pStyle w:val="Corpodeltesto2"/>
              <w:spacing w:before="0" w:after="0"/>
              <w:ind w:right="0"/>
              <w:jc w:val="center"/>
              <w:rPr>
                <w:rFonts w:ascii="Times New Roman" w:eastAsia="MS Mincho" w:hAnsi="Times New Roman" w:cs="Times New Roman"/>
                <w:sz w:val="18"/>
                <w:szCs w:val="18"/>
              </w:rPr>
            </w:pPr>
            <w:r w:rsidRPr="00BC3A4A">
              <w:rPr>
                <w:rFonts w:ascii="Times New Roman" w:eastAsia="MS Mincho" w:hAnsi="Times New Roman" w:cs="Times New Roman"/>
                <w:sz w:val="18"/>
                <w:szCs w:val="18"/>
              </w:rPr>
              <w:t>Part Time 81</w:t>
            </w:r>
          </w:p>
        </w:tc>
      </w:tr>
    </w:tbl>
    <w:p w14:paraId="05E37A2E" w14:textId="274CF984" w:rsidR="0041793E" w:rsidRDefault="0041793E" w:rsidP="0041793E">
      <w:pPr>
        <w:pStyle w:val="Corpodeltesto2"/>
        <w:spacing w:before="0" w:after="0"/>
        <w:ind w:right="0"/>
        <w:rPr>
          <w:rFonts w:ascii="Times New Roman" w:eastAsia="MS Mincho" w:hAnsi="Times New Roman" w:cs="Times New Roman"/>
          <w:sz w:val="20"/>
          <w:szCs w:val="20"/>
        </w:rPr>
      </w:pPr>
    </w:p>
    <w:p w14:paraId="4F0D0D0D" w14:textId="77777777" w:rsidR="00D7297B" w:rsidRDefault="00D7297B" w:rsidP="0041793E">
      <w:pPr>
        <w:pStyle w:val="Corpodeltesto2"/>
        <w:spacing w:before="0" w:after="0"/>
        <w:ind w:right="0"/>
        <w:rPr>
          <w:rFonts w:ascii="Times New Roman" w:eastAsia="MS Mincho" w:hAnsi="Times New Roman" w:cs="Times New Roman"/>
          <w:sz w:val="20"/>
          <w:szCs w:val="20"/>
        </w:rPr>
      </w:pPr>
    </w:p>
    <w:p w14:paraId="50B5800A" w14:textId="4EE72638" w:rsidR="0041793E" w:rsidRPr="0041793E" w:rsidRDefault="0041793E" w:rsidP="0041793E">
      <w:pPr>
        <w:pStyle w:val="Corpodeltesto2"/>
        <w:spacing w:before="0" w:after="0"/>
        <w:ind w:right="0"/>
        <w:rPr>
          <w:rFonts w:ascii="Times New Roman" w:eastAsia="MS Mincho" w:hAnsi="Times New Roman" w:cs="Times New Roman"/>
          <w:sz w:val="20"/>
          <w:szCs w:val="20"/>
        </w:rPr>
      </w:pPr>
      <w:r>
        <w:rPr>
          <w:rFonts w:ascii="Times New Roman" w:eastAsia="MS Mincho" w:hAnsi="Times New Roman" w:cs="Times New Roman"/>
          <w:sz w:val="20"/>
          <w:szCs w:val="20"/>
        </w:rPr>
        <w:t xml:space="preserve"> </w:t>
      </w:r>
    </w:p>
    <w:p w14:paraId="07D0F504" w14:textId="0C23F318" w:rsidR="0018644F" w:rsidRDefault="0018644F" w:rsidP="006672EF">
      <w:pPr>
        <w:pStyle w:val="Corpodeltesto2"/>
        <w:spacing w:before="0" w:after="0"/>
        <w:ind w:right="0"/>
        <w:rPr>
          <w:rFonts w:ascii="Times New Roman" w:hAnsi="Times New Roman"/>
          <w:sz w:val="20"/>
          <w:szCs w:val="20"/>
          <w:highlight w:val="yellow"/>
        </w:rPr>
      </w:pPr>
    </w:p>
    <w:p w14:paraId="19EB84B5" w14:textId="2966640F" w:rsidR="00627D16" w:rsidRPr="00BC3A4A" w:rsidRDefault="00467E26" w:rsidP="00603F3F">
      <w:pPr>
        <w:widowControl w:val="0"/>
        <w:spacing w:after="0"/>
        <w:jc w:val="both"/>
        <w:rPr>
          <w:rFonts w:ascii="Times New Roman" w:hAnsi="Times New Roman"/>
          <w:sz w:val="20"/>
          <w:szCs w:val="20"/>
          <w:lang w:eastAsia="it-IT"/>
        </w:rPr>
      </w:pPr>
      <w:r w:rsidRPr="00BC3A4A">
        <w:rPr>
          <w:rFonts w:ascii="Times New Roman" w:hAnsi="Times New Roman"/>
          <w:sz w:val="20"/>
          <w:szCs w:val="20"/>
          <w:lang w:eastAsia="it-IT"/>
        </w:rPr>
        <w:lastRenderedPageBreak/>
        <w:t xml:space="preserve">Il </w:t>
      </w:r>
      <w:r w:rsidR="00F82B74" w:rsidRPr="00BC3A4A">
        <w:rPr>
          <w:rFonts w:ascii="Times New Roman" w:hAnsi="Times New Roman"/>
          <w:sz w:val="20"/>
          <w:szCs w:val="20"/>
          <w:lang w:eastAsia="it-IT"/>
        </w:rPr>
        <w:t>Piano Operativo Annuale</w:t>
      </w:r>
      <w:r w:rsidRPr="00BC3A4A">
        <w:rPr>
          <w:rFonts w:ascii="Times New Roman" w:hAnsi="Times New Roman"/>
          <w:sz w:val="20"/>
          <w:szCs w:val="20"/>
          <w:lang w:eastAsia="it-IT"/>
        </w:rPr>
        <w:t xml:space="preserve"> del 201</w:t>
      </w:r>
      <w:r w:rsidR="00EA4F96" w:rsidRPr="00BC3A4A">
        <w:rPr>
          <w:rFonts w:ascii="Times New Roman" w:hAnsi="Times New Roman"/>
          <w:sz w:val="20"/>
          <w:szCs w:val="20"/>
          <w:lang w:eastAsia="it-IT"/>
        </w:rPr>
        <w:t>9</w:t>
      </w:r>
      <w:r w:rsidRPr="00BC3A4A">
        <w:rPr>
          <w:rFonts w:ascii="Times New Roman" w:hAnsi="Times New Roman"/>
          <w:sz w:val="20"/>
          <w:szCs w:val="20"/>
          <w:lang w:eastAsia="it-IT"/>
        </w:rPr>
        <w:t xml:space="preserve"> </w:t>
      </w:r>
      <w:r w:rsidR="00AC009D" w:rsidRPr="00BC3A4A">
        <w:rPr>
          <w:rFonts w:ascii="Times New Roman" w:hAnsi="Times New Roman"/>
          <w:sz w:val="20"/>
          <w:szCs w:val="20"/>
          <w:lang w:eastAsia="it-IT"/>
        </w:rPr>
        <w:t>è stato a</w:t>
      </w:r>
      <w:r w:rsidRPr="00BC3A4A">
        <w:rPr>
          <w:rFonts w:ascii="Times New Roman" w:hAnsi="Times New Roman"/>
          <w:sz w:val="20"/>
          <w:szCs w:val="20"/>
          <w:lang w:eastAsia="it-IT"/>
        </w:rPr>
        <w:t>dottato, in un’ottica di semplificazione</w:t>
      </w:r>
      <w:r w:rsidR="00AC009D" w:rsidRPr="00BC3A4A">
        <w:rPr>
          <w:rFonts w:ascii="Times New Roman" w:hAnsi="Times New Roman"/>
          <w:sz w:val="20"/>
          <w:szCs w:val="20"/>
          <w:lang w:eastAsia="it-IT"/>
        </w:rPr>
        <w:t xml:space="preserve"> e razionalizzazione dei costi e la gestione della società è </w:t>
      </w:r>
      <w:r w:rsidR="009F6C16" w:rsidRPr="00BC3A4A">
        <w:rPr>
          <w:rFonts w:ascii="Times New Roman" w:hAnsi="Times New Roman"/>
          <w:sz w:val="20"/>
          <w:szCs w:val="20"/>
          <w:lang w:eastAsia="it-IT"/>
        </w:rPr>
        <w:t xml:space="preserve">orientata alla </w:t>
      </w:r>
      <w:r w:rsidRPr="00BC3A4A">
        <w:rPr>
          <w:rFonts w:ascii="Times New Roman" w:hAnsi="Times New Roman"/>
          <w:sz w:val="20"/>
          <w:szCs w:val="20"/>
          <w:lang w:eastAsia="it-IT"/>
        </w:rPr>
        <w:t xml:space="preserve">creazione di valore </w:t>
      </w:r>
      <w:r w:rsidR="009F6C16" w:rsidRPr="00BC3A4A">
        <w:rPr>
          <w:rFonts w:ascii="Times New Roman" w:hAnsi="Times New Roman"/>
          <w:sz w:val="20"/>
          <w:szCs w:val="20"/>
          <w:lang w:eastAsia="it-IT"/>
        </w:rPr>
        <w:t>per i cittadini del Comune di Marino.</w:t>
      </w:r>
    </w:p>
    <w:p w14:paraId="16575332" w14:textId="0BF2B642" w:rsidR="00467E26" w:rsidRPr="00BC3A4A" w:rsidRDefault="00467E26" w:rsidP="00603F3F">
      <w:pPr>
        <w:widowControl w:val="0"/>
        <w:spacing w:after="0"/>
        <w:jc w:val="both"/>
        <w:rPr>
          <w:rFonts w:ascii="Times New Roman" w:hAnsi="Times New Roman"/>
          <w:sz w:val="20"/>
          <w:szCs w:val="20"/>
          <w:lang w:eastAsia="it-IT"/>
        </w:rPr>
      </w:pPr>
      <w:r w:rsidRPr="00BC3A4A">
        <w:rPr>
          <w:rFonts w:ascii="Times New Roman" w:hAnsi="Times New Roman"/>
          <w:sz w:val="20"/>
          <w:szCs w:val="20"/>
          <w:lang w:eastAsia="it-IT"/>
        </w:rPr>
        <w:t>L’attività d</w:t>
      </w:r>
      <w:r w:rsidR="002B7DCE" w:rsidRPr="00BC3A4A">
        <w:rPr>
          <w:rFonts w:ascii="Times New Roman" w:hAnsi="Times New Roman"/>
          <w:sz w:val="20"/>
          <w:szCs w:val="20"/>
          <w:lang w:eastAsia="it-IT"/>
        </w:rPr>
        <w:t>ella società</w:t>
      </w:r>
      <w:r w:rsidRPr="00BC3A4A">
        <w:rPr>
          <w:rFonts w:ascii="Times New Roman" w:hAnsi="Times New Roman"/>
          <w:sz w:val="20"/>
          <w:szCs w:val="20"/>
          <w:lang w:eastAsia="it-IT"/>
        </w:rPr>
        <w:t xml:space="preserve"> si diversifica per categoria di </w:t>
      </w:r>
      <w:r w:rsidRPr="00BC3A4A">
        <w:rPr>
          <w:rFonts w:ascii="Times New Roman" w:hAnsi="Times New Roman"/>
          <w:i/>
          <w:sz w:val="20"/>
          <w:szCs w:val="20"/>
          <w:lang w:eastAsia="it-IT"/>
        </w:rPr>
        <w:t>stakeholder</w:t>
      </w:r>
      <w:r w:rsidRPr="00BC3A4A">
        <w:rPr>
          <w:rFonts w:ascii="Times New Roman" w:hAnsi="Times New Roman"/>
          <w:sz w:val="20"/>
          <w:szCs w:val="20"/>
          <w:lang w:eastAsia="it-IT"/>
        </w:rPr>
        <w:t xml:space="preserve"> di riferimento, settore di intervento, beneficiario diretto e categoria di servizi erogati.</w:t>
      </w:r>
      <w:r w:rsidR="002B7DCE" w:rsidRPr="00BC3A4A">
        <w:rPr>
          <w:rFonts w:ascii="Times New Roman" w:hAnsi="Times New Roman"/>
          <w:sz w:val="20"/>
          <w:szCs w:val="20"/>
          <w:lang w:eastAsia="it-IT"/>
        </w:rPr>
        <w:t xml:space="preserve"> </w:t>
      </w:r>
      <w:r w:rsidRPr="00BC3A4A">
        <w:rPr>
          <w:rFonts w:ascii="Times New Roman" w:hAnsi="Times New Roman"/>
          <w:sz w:val="20"/>
          <w:szCs w:val="20"/>
          <w:lang w:eastAsia="it-IT"/>
        </w:rPr>
        <w:t xml:space="preserve">Questo ampio registro di possibilità attuative fa sì che la </w:t>
      </w:r>
      <w:r w:rsidR="002B7DCE" w:rsidRPr="00BC3A4A">
        <w:rPr>
          <w:rFonts w:ascii="Times New Roman" w:hAnsi="Times New Roman"/>
          <w:sz w:val="20"/>
          <w:szCs w:val="20"/>
          <w:lang w:eastAsia="it-IT"/>
        </w:rPr>
        <w:t xml:space="preserve">società </w:t>
      </w:r>
      <w:r w:rsidRPr="00BC3A4A">
        <w:rPr>
          <w:rFonts w:ascii="Times New Roman" w:hAnsi="Times New Roman"/>
          <w:sz w:val="20"/>
          <w:szCs w:val="20"/>
          <w:lang w:eastAsia="it-IT"/>
        </w:rPr>
        <w:t xml:space="preserve">concorra, a vario titolo, alla formazione di </w:t>
      </w:r>
      <w:r w:rsidR="006F6852" w:rsidRPr="00BC3A4A">
        <w:rPr>
          <w:rFonts w:ascii="Times New Roman" w:hAnsi="Times New Roman"/>
          <w:sz w:val="20"/>
          <w:szCs w:val="20"/>
          <w:lang w:eastAsia="it-IT"/>
        </w:rPr>
        <w:t xml:space="preserve">valore aggiunto sul territorio comunale </w:t>
      </w:r>
      <w:r w:rsidRPr="00BC3A4A">
        <w:rPr>
          <w:rFonts w:ascii="Times New Roman" w:hAnsi="Times New Roman"/>
          <w:sz w:val="20"/>
          <w:szCs w:val="20"/>
          <w:lang w:eastAsia="it-IT"/>
        </w:rPr>
        <w:t>e, pertanto, fa sì che essa persegui (direttamente o indirettamente) il raggiungimento di obiettivi diversi.</w:t>
      </w:r>
      <w:r w:rsidR="00835045" w:rsidRPr="00BC3A4A">
        <w:rPr>
          <w:rFonts w:ascii="Times New Roman" w:hAnsi="Times New Roman"/>
          <w:sz w:val="20"/>
          <w:szCs w:val="20"/>
          <w:lang w:eastAsia="it-IT"/>
        </w:rPr>
        <w:t xml:space="preserve"> </w:t>
      </w:r>
      <w:r w:rsidRPr="00BC3A4A">
        <w:rPr>
          <w:rFonts w:ascii="Times New Roman" w:hAnsi="Times New Roman"/>
          <w:sz w:val="20"/>
          <w:szCs w:val="20"/>
          <w:lang w:eastAsia="it-IT"/>
        </w:rPr>
        <w:t xml:space="preserve">Oltre ad essi, l’insieme degli obiettivi che la </w:t>
      </w:r>
      <w:r w:rsidR="002B7DCE" w:rsidRPr="00BC3A4A">
        <w:rPr>
          <w:rFonts w:ascii="Times New Roman" w:hAnsi="Times New Roman"/>
          <w:sz w:val="20"/>
          <w:szCs w:val="20"/>
          <w:lang w:eastAsia="it-IT"/>
        </w:rPr>
        <w:t xml:space="preserve">società </w:t>
      </w:r>
      <w:r w:rsidRPr="00BC3A4A">
        <w:rPr>
          <w:rFonts w:ascii="Times New Roman" w:hAnsi="Times New Roman"/>
          <w:sz w:val="20"/>
          <w:szCs w:val="20"/>
          <w:lang w:eastAsia="it-IT"/>
        </w:rPr>
        <w:t>persegue possono essere classificati secondo due categorie principali: obiettivi a concorrenza diretta ed indiretta; obiettivi eterodiretti ed obiettivi derivanti (almeno in parte) dalle esigenze gestionali.</w:t>
      </w:r>
    </w:p>
    <w:p w14:paraId="64B18E0B" w14:textId="5719C647" w:rsidR="00467E26" w:rsidRDefault="00467E26" w:rsidP="00603F3F">
      <w:pPr>
        <w:widowControl w:val="0"/>
        <w:spacing w:after="0"/>
        <w:jc w:val="both"/>
        <w:rPr>
          <w:rFonts w:ascii="Times New Roman" w:hAnsi="Times New Roman"/>
          <w:sz w:val="20"/>
          <w:szCs w:val="20"/>
          <w:lang w:eastAsia="it-IT"/>
        </w:rPr>
      </w:pPr>
      <w:r w:rsidRPr="00BC3A4A">
        <w:rPr>
          <w:rFonts w:ascii="Times New Roman" w:hAnsi="Times New Roman"/>
          <w:sz w:val="20"/>
          <w:szCs w:val="20"/>
          <w:lang w:eastAsia="it-IT"/>
        </w:rPr>
        <w:t xml:space="preserve">Data la grande diversificazione delle attività, </w:t>
      </w:r>
      <w:r w:rsidR="002B7DCE" w:rsidRPr="00BC3A4A">
        <w:rPr>
          <w:rFonts w:ascii="Times New Roman" w:hAnsi="Times New Roman"/>
          <w:sz w:val="20"/>
          <w:szCs w:val="20"/>
          <w:lang w:eastAsia="it-IT"/>
        </w:rPr>
        <w:t xml:space="preserve">sono </w:t>
      </w:r>
      <w:r w:rsidRPr="00BC3A4A">
        <w:rPr>
          <w:rFonts w:ascii="Times New Roman" w:hAnsi="Times New Roman"/>
          <w:sz w:val="20"/>
          <w:szCs w:val="20"/>
          <w:lang w:eastAsia="it-IT"/>
        </w:rPr>
        <w:t>recepi</w:t>
      </w:r>
      <w:r w:rsidR="002B7DCE" w:rsidRPr="00BC3A4A">
        <w:rPr>
          <w:rFonts w:ascii="Times New Roman" w:hAnsi="Times New Roman"/>
          <w:sz w:val="20"/>
          <w:szCs w:val="20"/>
          <w:lang w:eastAsia="it-IT"/>
        </w:rPr>
        <w:t>ti</w:t>
      </w:r>
      <w:r w:rsidRPr="00BC3A4A">
        <w:rPr>
          <w:rFonts w:ascii="Times New Roman" w:hAnsi="Times New Roman"/>
          <w:sz w:val="20"/>
          <w:szCs w:val="20"/>
          <w:lang w:eastAsia="it-IT"/>
        </w:rPr>
        <w:t xml:space="preserve"> infine gli obiettivi di strategie che </w:t>
      </w:r>
      <w:r w:rsidR="006F6852" w:rsidRPr="00BC3A4A">
        <w:rPr>
          <w:rFonts w:ascii="Times New Roman" w:hAnsi="Times New Roman"/>
          <w:sz w:val="20"/>
          <w:szCs w:val="20"/>
          <w:lang w:eastAsia="it-IT"/>
        </w:rPr>
        <w:t xml:space="preserve">il Comune </w:t>
      </w:r>
      <w:r w:rsidRPr="00BC3A4A">
        <w:rPr>
          <w:rFonts w:ascii="Times New Roman" w:hAnsi="Times New Roman"/>
          <w:sz w:val="20"/>
          <w:szCs w:val="20"/>
          <w:lang w:eastAsia="it-IT"/>
        </w:rPr>
        <w:t xml:space="preserve">pone in essere in materia di specifici settori di attività e che da un lato concorrono alla formazione dell’orientamento strategico di fondo (come gli obiettivi di </w:t>
      </w:r>
      <w:r w:rsidR="006F6852" w:rsidRPr="00BC3A4A">
        <w:rPr>
          <w:rFonts w:ascii="Times New Roman" w:hAnsi="Times New Roman"/>
          <w:sz w:val="20"/>
          <w:szCs w:val="20"/>
          <w:lang w:eastAsia="it-IT"/>
        </w:rPr>
        <w:t>salvaguardia ambientale</w:t>
      </w:r>
      <w:r w:rsidRPr="00BC3A4A">
        <w:rPr>
          <w:rFonts w:ascii="Times New Roman" w:hAnsi="Times New Roman"/>
          <w:sz w:val="20"/>
          <w:szCs w:val="20"/>
          <w:lang w:eastAsia="it-IT"/>
        </w:rPr>
        <w:t>) e dall’altro rappresentano degli obiettivi analitici che possono essere classificati per area di specializzazione di servizi, come nel caso degli obiettivi che</w:t>
      </w:r>
      <w:r w:rsidR="00D04193" w:rsidRPr="00BC3A4A">
        <w:rPr>
          <w:rFonts w:ascii="Times New Roman" w:hAnsi="Times New Roman"/>
          <w:sz w:val="20"/>
          <w:szCs w:val="20"/>
          <w:lang w:eastAsia="it-IT"/>
        </w:rPr>
        <w:t xml:space="preserve"> la società</w:t>
      </w:r>
      <w:r w:rsidRPr="00BC3A4A">
        <w:rPr>
          <w:rFonts w:ascii="Times New Roman" w:hAnsi="Times New Roman"/>
          <w:sz w:val="20"/>
          <w:szCs w:val="20"/>
          <w:lang w:eastAsia="it-IT"/>
        </w:rPr>
        <w:t xml:space="preserve"> persegue in materia di Sviluppo e Promozione del Territorio con particolare attenzione alla Valorizzazione del Patrimonio </w:t>
      </w:r>
      <w:r w:rsidR="006F6852" w:rsidRPr="00BC3A4A">
        <w:rPr>
          <w:rFonts w:ascii="Times New Roman" w:hAnsi="Times New Roman"/>
          <w:sz w:val="20"/>
          <w:szCs w:val="20"/>
          <w:lang w:eastAsia="it-IT"/>
        </w:rPr>
        <w:t>ambientale e sociale</w:t>
      </w:r>
      <w:r w:rsidRPr="00BC3A4A">
        <w:rPr>
          <w:rFonts w:ascii="Times New Roman" w:hAnsi="Times New Roman"/>
          <w:sz w:val="20"/>
          <w:szCs w:val="20"/>
          <w:lang w:eastAsia="it-IT"/>
        </w:rPr>
        <w:t>.</w:t>
      </w:r>
    </w:p>
    <w:p w14:paraId="0AA333BC" w14:textId="77777777" w:rsidR="00467E26" w:rsidRPr="0045148B" w:rsidRDefault="00467E26" w:rsidP="00603F3F">
      <w:pPr>
        <w:widowControl w:val="0"/>
        <w:spacing w:after="0"/>
        <w:jc w:val="both"/>
        <w:rPr>
          <w:rFonts w:ascii="Times New Roman" w:hAnsi="Times New Roman"/>
          <w:sz w:val="20"/>
          <w:szCs w:val="20"/>
          <w:lang w:eastAsia="it-IT"/>
        </w:rPr>
      </w:pPr>
    </w:p>
    <w:p w14:paraId="320470D0" w14:textId="77777777" w:rsidR="00467E26" w:rsidRPr="00A24DDB" w:rsidRDefault="00A24DDB" w:rsidP="003D0FAF">
      <w:pPr>
        <w:pStyle w:val="Titolo3"/>
        <w:keepNext w:val="0"/>
        <w:widowControl w:val="0"/>
        <w:spacing w:before="60" w:after="60" w:line="276" w:lineRule="auto"/>
        <w:ind w:left="425" w:hanging="425"/>
        <w:contextualSpacing w:val="0"/>
      </w:pPr>
      <w:bookmarkStart w:id="6" w:name="_Toc535854387"/>
      <w:r>
        <w:t>Gli obiettivi a c</w:t>
      </w:r>
      <w:r w:rsidR="00467E26" w:rsidRPr="00A24DDB">
        <w:t xml:space="preserve">oncorrenza </w:t>
      </w:r>
      <w:r w:rsidR="00A606FB" w:rsidRPr="00A24DDB">
        <w:t>indiretta</w:t>
      </w:r>
      <w:bookmarkEnd w:id="6"/>
      <w:r w:rsidR="00467E26" w:rsidRPr="00A24DDB">
        <w:t xml:space="preserve"> </w:t>
      </w:r>
    </w:p>
    <w:p w14:paraId="3ECE964C" w14:textId="2A963BD4" w:rsidR="00467E26" w:rsidRPr="0045148B" w:rsidRDefault="00467E26" w:rsidP="003D0FAF">
      <w:pPr>
        <w:widowControl w:val="0"/>
        <w:spacing w:after="0"/>
        <w:jc w:val="both"/>
        <w:rPr>
          <w:rFonts w:ascii="Times New Roman" w:hAnsi="Times New Roman"/>
          <w:sz w:val="20"/>
          <w:szCs w:val="20"/>
          <w:lang w:eastAsia="it-IT"/>
        </w:rPr>
      </w:pPr>
      <w:r w:rsidRPr="0045148B">
        <w:rPr>
          <w:rFonts w:ascii="Times New Roman" w:hAnsi="Times New Roman"/>
          <w:sz w:val="20"/>
          <w:szCs w:val="20"/>
          <w:lang w:eastAsia="it-IT"/>
        </w:rPr>
        <w:t xml:space="preserve">Attraverso la propria ordinaria amministrazione, per le caratteristiche strutturali che presenta, </w:t>
      </w:r>
      <w:r w:rsidR="00D04193">
        <w:rPr>
          <w:rFonts w:ascii="Times New Roman" w:hAnsi="Times New Roman"/>
          <w:sz w:val="20"/>
          <w:szCs w:val="20"/>
          <w:lang w:eastAsia="it-IT"/>
        </w:rPr>
        <w:t xml:space="preserve">sono </w:t>
      </w:r>
      <w:r w:rsidRPr="0045148B">
        <w:rPr>
          <w:rFonts w:ascii="Times New Roman" w:hAnsi="Times New Roman"/>
          <w:sz w:val="20"/>
          <w:szCs w:val="20"/>
          <w:lang w:eastAsia="it-IT"/>
        </w:rPr>
        <w:t>po</w:t>
      </w:r>
      <w:r w:rsidR="00D04193">
        <w:rPr>
          <w:rFonts w:ascii="Times New Roman" w:hAnsi="Times New Roman"/>
          <w:sz w:val="20"/>
          <w:szCs w:val="20"/>
          <w:lang w:eastAsia="it-IT"/>
        </w:rPr>
        <w:t>ste</w:t>
      </w:r>
      <w:r w:rsidRPr="0045148B">
        <w:rPr>
          <w:rFonts w:ascii="Times New Roman" w:hAnsi="Times New Roman"/>
          <w:sz w:val="20"/>
          <w:szCs w:val="20"/>
          <w:lang w:eastAsia="it-IT"/>
        </w:rPr>
        <w:t xml:space="preserve"> in essere attività attraverso le quali </w:t>
      </w:r>
      <w:r w:rsidR="00D04193">
        <w:rPr>
          <w:rFonts w:ascii="Times New Roman" w:hAnsi="Times New Roman"/>
          <w:sz w:val="20"/>
          <w:szCs w:val="20"/>
          <w:lang w:eastAsia="it-IT"/>
        </w:rPr>
        <w:t xml:space="preserve">si </w:t>
      </w:r>
      <w:r w:rsidRPr="0045148B">
        <w:rPr>
          <w:rFonts w:ascii="Times New Roman" w:hAnsi="Times New Roman"/>
          <w:sz w:val="20"/>
          <w:szCs w:val="20"/>
          <w:lang w:eastAsia="it-IT"/>
        </w:rPr>
        <w:t>concorre, in misura indiretta, al raggiungimento di obiettivi di natura territoriale (</w:t>
      </w:r>
      <w:r w:rsidRPr="003D0FAF">
        <w:rPr>
          <w:rFonts w:ascii="Times New Roman" w:hAnsi="Times New Roman"/>
          <w:i/>
          <w:sz w:val="20"/>
          <w:szCs w:val="20"/>
          <w:lang w:eastAsia="it-IT"/>
        </w:rPr>
        <w:t xml:space="preserve">Obiettivi di Sviluppo </w:t>
      </w:r>
      <w:r w:rsidR="003D0FAF" w:rsidRPr="003D0FAF">
        <w:rPr>
          <w:rFonts w:ascii="Times New Roman" w:hAnsi="Times New Roman"/>
          <w:i/>
          <w:sz w:val="20"/>
          <w:szCs w:val="20"/>
          <w:lang w:eastAsia="it-IT"/>
        </w:rPr>
        <w:t>del Comune di Marino</w:t>
      </w:r>
      <w:r w:rsidRPr="0045148B">
        <w:rPr>
          <w:rFonts w:ascii="Times New Roman" w:hAnsi="Times New Roman"/>
          <w:sz w:val="20"/>
          <w:szCs w:val="20"/>
          <w:lang w:eastAsia="it-IT"/>
        </w:rPr>
        <w:t>).</w:t>
      </w:r>
      <w:r w:rsidR="00835045">
        <w:rPr>
          <w:rFonts w:ascii="Times New Roman" w:hAnsi="Times New Roman"/>
          <w:sz w:val="20"/>
          <w:szCs w:val="20"/>
          <w:lang w:eastAsia="it-IT"/>
        </w:rPr>
        <w:t xml:space="preserve"> </w:t>
      </w:r>
      <w:r w:rsidR="003D0FAF">
        <w:rPr>
          <w:rFonts w:ascii="Times New Roman" w:hAnsi="Times New Roman"/>
          <w:sz w:val="20"/>
          <w:szCs w:val="20"/>
          <w:lang w:eastAsia="it-IT"/>
        </w:rPr>
        <w:t>Attraverso i servizi erogati la società contribuisce in modo rilevante al miglioramento della qualità della vita dei cittadini di Marino soprattutto sul versante ambientale che sociale.</w:t>
      </w:r>
    </w:p>
    <w:p w14:paraId="2B465DE7" w14:textId="77777777" w:rsidR="00EB4FD8" w:rsidRDefault="00EB4FD8" w:rsidP="00603F3F">
      <w:pPr>
        <w:widowControl w:val="0"/>
        <w:spacing w:after="0"/>
        <w:jc w:val="both"/>
        <w:rPr>
          <w:rFonts w:ascii="Times New Roman" w:hAnsi="Times New Roman"/>
          <w:sz w:val="20"/>
          <w:szCs w:val="20"/>
          <w:lang w:eastAsia="it-IT"/>
        </w:rPr>
      </w:pPr>
    </w:p>
    <w:p w14:paraId="38EB3067" w14:textId="77777777" w:rsidR="00603F3F" w:rsidRPr="00A24DDB" w:rsidRDefault="00603F3F" w:rsidP="00603F3F">
      <w:pPr>
        <w:pStyle w:val="Titolo3"/>
        <w:keepNext w:val="0"/>
        <w:widowControl w:val="0"/>
        <w:spacing w:line="276" w:lineRule="auto"/>
        <w:ind w:left="426" w:hanging="426"/>
        <w:contextualSpacing w:val="0"/>
      </w:pPr>
      <w:bookmarkStart w:id="7" w:name="_Toc535854388"/>
      <w:r w:rsidRPr="00A24DDB">
        <w:t>Obiettivi a Concorrenza Diretta</w:t>
      </w:r>
      <w:bookmarkEnd w:id="7"/>
    </w:p>
    <w:p w14:paraId="1E884AD6" w14:textId="10128237" w:rsidR="00603F3F" w:rsidRPr="0045148B" w:rsidRDefault="00603F3F" w:rsidP="00603F3F">
      <w:pPr>
        <w:widowControl w:val="0"/>
        <w:spacing w:after="0"/>
        <w:jc w:val="both"/>
        <w:rPr>
          <w:rFonts w:ascii="Times New Roman" w:hAnsi="Times New Roman"/>
          <w:sz w:val="20"/>
          <w:szCs w:val="20"/>
          <w:lang w:eastAsia="it-IT"/>
        </w:rPr>
      </w:pPr>
      <w:r w:rsidRPr="0045148B">
        <w:rPr>
          <w:rFonts w:ascii="Times New Roman" w:hAnsi="Times New Roman"/>
          <w:sz w:val="20"/>
          <w:szCs w:val="20"/>
        </w:rPr>
        <w:t xml:space="preserve">Oltre alle macro-tematiche di natura </w:t>
      </w:r>
      <w:r w:rsidR="003D0FAF">
        <w:rPr>
          <w:rFonts w:ascii="Times New Roman" w:hAnsi="Times New Roman"/>
          <w:sz w:val="20"/>
          <w:szCs w:val="20"/>
        </w:rPr>
        <w:t>comunale</w:t>
      </w:r>
      <w:r w:rsidRPr="0045148B">
        <w:rPr>
          <w:rFonts w:ascii="Times New Roman" w:hAnsi="Times New Roman"/>
          <w:sz w:val="20"/>
          <w:szCs w:val="20"/>
        </w:rPr>
        <w:t xml:space="preserve">, la </w:t>
      </w:r>
      <w:r>
        <w:rPr>
          <w:rFonts w:ascii="Times New Roman" w:hAnsi="Times New Roman"/>
          <w:sz w:val="20"/>
          <w:szCs w:val="20"/>
        </w:rPr>
        <w:t>società</w:t>
      </w:r>
      <w:r w:rsidRPr="0045148B">
        <w:rPr>
          <w:rFonts w:ascii="Times New Roman" w:hAnsi="Times New Roman"/>
          <w:sz w:val="20"/>
          <w:szCs w:val="20"/>
        </w:rPr>
        <w:t xml:space="preserve"> pone in essere attività attraverso le quali concorre direttamente al raggiungimento di specifici obiettivi, definiti da un processo strategico che </w:t>
      </w:r>
      <w:r>
        <w:rPr>
          <w:rFonts w:ascii="Times New Roman" w:hAnsi="Times New Roman"/>
          <w:sz w:val="20"/>
          <w:szCs w:val="20"/>
        </w:rPr>
        <w:t>la società</w:t>
      </w:r>
      <w:r w:rsidRPr="0045148B">
        <w:rPr>
          <w:rFonts w:ascii="Times New Roman" w:hAnsi="Times New Roman"/>
          <w:sz w:val="20"/>
          <w:szCs w:val="20"/>
        </w:rPr>
        <w:t xml:space="preserve"> deriva principalmente dalle indicazioni attraverso le quali l’azionista unico delinea l’orientamento strategico di fondo societario.</w:t>
      </w:r>
      <w:r>
        <w:rPr>
          <w:rFonts w:ascii="Times New Roman" w:hAnsi="Times New Roman"/>
          <w:sz w:val="20"/>
          <w:szCs w:val="20"/>
        </w:rPr>
        <w:t xml:space="preserve"> </w:t>
      </w:r>
      <w:r w:rsidRPr="0080666F">
        <w:rPr>
          <w:rFonts w:ascii="Times New Roman" w:hAnsi="Times New Roman"/>
          <w:sz w:val="20"/>
        </w:rPr>
        <w:t xml:space="preserve">La </w:t>
      </w:r>
      <w:r w:rsidRPr="00F6488C">
        <w:rPr>
          <w:rFonts w:ascii="Times New Roman" w:hAnsi="Times New Roman"/>
          <w:sz w:val="20"/>
          <w:szCs w:val="20"/>
          <w:lang w:eastAsia="it-IT"/>
        </w:rPr>
        <w:t>visione strategica segue pertanto un processo che trova nel D</w:t>
      </w:r>
      <w:r w:rsidR="003D0FAF">
        <w:rPr>
          <w:rFonts w:ascii="Times New Roman" w:hAnsi="Times New Roman"/>
          <w:sz w:val="20"/>
          <w:szCs w:val="20"/>
          <w:lang w:eastAsia="it-IT"/>
        </w:rPr>
        <w:t>UP e nel PEG del Comune di Marino.</w:t>
      </w:r>
    </w:p>
    <w:p w14:paraId="6DABB05B" w14:textId="77777777" w:rsidR="00603F3F" w:rsidRDefault="00603F3F" w:rsidP="00603F3F">
      <w:pPr>
        <w:widowControl w:val="0"/>
        <w:spacing w:after="0"/>
        <w:jc w:val="both"/>
        <w:rPr>
          <w:rFonts w:ascii="Times New Roman" w:hAnsi="Times New Roman"/>
          <w:sz w:val="20"/>
          <w:szCs w:val="20"/>
          <w:lang w:eastAsia="it-IT"/>
        </w:rPr>
      </w:pPr>
    </w:p>
    <w:p w14:paraId="6E99913C" w14:textId="48999713" w:rsidR="00603F3F" w:rsidRPr="00EC1ACB" w:rsidRDefault="003D0FAF" w:rsidP="00603F3F">
      <w:pPr>
        <w:pStyle w:val="Titolo3"/>
        <w:keepNext w:val="0"/>
        <w:widowControl w:val="0"/>
        <w:spacing w:line="276" w:lineRule="auto"/>
        <w:ind w:left="426" w:hanging="426"/>
        <w:contextualSpacing w:val="0"/>
      </w:pPr>
      <w:bookmarkStart w:id="8" w:name="_Toc535854389"/>
      <w:r>
        <w:rPr>
          <w:lang w:val="it-IT"/>
        </w:rPr>
        <w:t>DUP</w:t>
      </w:r>
      <w:r>
        <w:t xml:space="preserve"> del Comune di Marino</w:t>
      </w:r>
      <w:bookmarkEnd w:id="8"/>
    </w:p>
    <w:p w14:paraId="43253053" w14:textId="2286E1A1" w:rsidR="00603F3F" w:rsidRDefault="003D0FA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Il Comune di Marino</w:t>
      </w:r>
      <w:r w:rsidR="00603F3F" w:rsidRPr="00F6488C">
        <w:rPr>
          <w:rFonts w:ascii="Times New Roman" w:hAnsi="Times New Roman"/>
          <w:sz w:val="20"/>
          <w:szCs w:val="20"/>
          <w:lang w:eastAsia="it-IT"/>
        </w:rPr>
        <w:t xml:space="preserve">, in qualità di unico </w:t>
      </w:r>
      <w:r w:rsidR="00705451">
        <w:rPr>
          <w:rFonts w:ascii="Times New Roman" w:hAnsi="Times New Roman"/>
          <w:i/>
          <w:sz w:val="20"/>
          <w:szCs w:val="20"/>
          <w:lang w:eastAsia="it-IT"/>
        </w:rPr>
        <w:t>sh</w:t>
      </w:r>
      <w:r w:rsidR="00603F3F" w:rsidRPr="00F6488C">
        <w:rPr>
          <w:rFonts w:ascii="Times New Roman" w:hAnsi="Times New Roman"/>
          <w:i/>
          <w:sz w:val="20"/>
          <w:szCs w:val="20"/>
          <w:lang w:eastAsia="it-IT"/>
        </w:rPr>
        <w:t xml:space="preserve">areholder </w:t>
      </w:r>
      <w:r w:rsidR="00603F3F" w:rsidRPr="00F6488C">
        <w:rPr>
          <w:rFonts w:ascii="Times New Roman" w:hAnsi="Times New Roman"/>
          <w:sz w:val="20"/>
          <w:szCs w:val="20"/>
          <w:lang w:eastAsia="it-IT"/>
        </w:rPr>
        <w:t>e sulla base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delle premesse contenute nel quadro normativo attua la</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forma strategica del controllo analogo sulla </w:t>
      </w:r>
      <w:r w:rsidR="00603F3F">
        <w:rPr>
          <w:rFonts w:ascii="Times New Roman" w:hAnsi="Times New Roman"/>
          <w:sz w:val="20"/>
          <w:szCs w:val="20"/>
          <w:lang w:eastAsia="it-IT"/>
        </w:rPr>
        <w:t>società</w:t>
      </w:r>
      <w:r w:rsidR="00603F3F" w:rsidRPr="00F6488C">
        <w:rPr>
          <w:rFonts w:ascii="Times New Roman" w:hAnsi="Times New Roman"/>
          <w:sz w:val="20"/>
          <w:szCs w:val="20"/>
          <w:lang w:eastAsia="it-IT"/>
        </w:rPr>
        <w:t xml:space="preserve"> attraverso la definizione,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nel </w:t>
      </w:r>
      <w:r>
        <w:rPr>
          <w:rFonts w:ascii="Times New Roman" w:hAnsi="Times New Roman"/>
          <w:sz w:val="20"/>
          <w:szCs w:val="20"/>
          <w:lang w:eastAsia="it-IT"/>
        </w:rPr>
        <w:t>DUP</w:t>
      </w:r>
      <w:r w:rsidR="00603F3F" w:rsidRPr="00F6488C">
        <w:rPr>
          <w:rFonts w:ascii="Times New Roman" w:hAnsi="Times New Roman"/>
          <w:sz w:val="20"/>
          <w:szCs w:val="20"/>
          <w:lang w:eastAsia="it-IT"/>
        </w:rPr>
        <w:t xml:space="preserve">, degli obiettivi strategici che </w:t>
      </w:r>
      <w:r w:rsidR="00603F3F">
        <w:rPr>
          <w:rFonts w:ascii="Times New Roman" w:hAnsi="Times New Roman"/>
          <w:sz w:val="20"/>
          <w:szCs w:val="20"/>
          <w:lang w:eastAsia="it-IT"/>
        </w:rPr>
        <w:t>essa</w:t>
      </w:r>
      <w:r w:rsidR="00603F3F" w:rsidRPr="00F6488C">
        <w:rPr>
          <w:rFonts w:ascii="Times New Roman" w:hAnsi="Times New Roman"/>
          <w:sz w:val="20"/>
          <w:szCs w:val="20"/>
          <w:lang w:eastAsia="it-IT"/>
        </w:rPr>
        <w:t xml:space="preserve"> è chiamata a perseguire.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Di fatto, le tre macro-categorie di obiettivi si</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concretizzano attraverso una serie di fasi, regolate attraverso specifici atti,</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che vedono nel </w:t>
      </w:r>
      <w:r>
        <w:rPr>
          <w:rFonts w:ascii="Times New Roman" w:hAnsi="Times New Roman"/>
          <w:sz w:val="20"/>
          <w:szCs w:val="20"/>
          <w:lang w:eastAsia="it-IT"/>
        </w:rPr>
        <w:t>DUP</w:t>
      </w:r>
      <w:r w:rsidR="00603F3F" w:rsidRPr="00F6488C">
        <w:rPr>
          <w:rFonts w:ascii="Times New Roman" w:hAnsi="Times New Roman"/>
          <w:sz w:val="20"/>
          <w:szCs w:val="20"/>
          <w:lang w:eastAsia="it-IT"/>
        </w:rPr>
        <w:t xml:space="preserve"> il documento germinale, nel quale</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vengono definiti gli indirizzi dai quali derivano</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successivamente gli obiettivi di gestione di breve e medio periodo, anche a</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seguito della sottoscrizione di specifici contratti e alla luce delle integrazioni di attività</w:t>
      </w:r>
      <w:r w:rsidR="00603F3F">
        <w:rPr>
          <w:rFonts w:ascii="Times New Roman" w:hAnsi="Times New Roman"/>
          <w:sz w:val="20"/>
          <w:szCs w:val="20"/>
          <w:lang w:eastAsia="it-IT"/>
        </w:rPr>
        <w:t xml:space="preserve"> </w:t>
      </w:r>
      <w:r w:rsidR="00603F3F" w:rsidRPr="00F6488C">
        <w:rPr>
          <w:rFonts w:ascii="Times New Roman" w:hAnsi="Times New Roman"/>
          <w:sz w:val="20"/>
          <w:szCs w:val="20"/>
          <w:lang w:eastAsia="it-IT"/>
        </w:rPr>
        <w:t xml:space="preserve">assegnate alla </w:t>
      </w:r>
      <w:r w:rsidR="00603F3F">
        <w:rPr>
          <w:rFonts w:ascii="Times New Roman" w:hAnsi="Times New Roman"/>
          <w:sz w:val="20"/>
          <w:szCs w:val="20"/>
          <w:lang w:eastAsia="it-IT"/>
        </w:rPr>
        <w:t>società.</w:t>
      </w:r>
    </w:p>
    <w:p w14:paraId="233E6607" w14:textId="746EF496" w:rsidR="00603F3F" w:rsidRDefault="00603F3F" w:rsidP="00D84744">
      <w:pPr>
        <w:autoSpaceDE w:val="0"/>
        <w:autoSpaceDN w:val="0"/>
        <w:adjustRightInd w:val="0"/>
        <w:spacing w:after="0" w:line="240" w:lineRule="auto"/>
        <w:jc w:val="both"/>
        <w:rPr>
          <w:rFonts w:ascii="Times New Roman" w:hAnsi="Times New Roman"/>
          <w:sz w:val="20"/>
          <w:szCs w:val="20"/>
          <w:lang w:eastAsia="it-IT"/>
        </w:rPr>
      </w:pPr>
      <w:r w:rsidRPr="00397219">
        <w:rPr>
          <w:rFonts w:ascii="Times New Roman" w:hAnsi="Times New Roman"/>
          <w:sz w:val="20"/>
          <w:szCs w:val="20"/>
          <w:lang w:eastAsia="it-IT"/>
        </w:rPr>
        <w:t xml:space="preserve">Il </w:t>
      </w:r>
      <w:r w:rsidR="00980ED9" w:rsidRPr="00397219">
        <w:rPr>
          <w:rFonts w:ascii="Times New Roman" w:hAnsi="Times New Roman"/>
          <w:b/>
          <w:sz w:val="20"/>
          <w:szCs w:val="20"/>
          <w:lang w:eastAsia="it-IT"/>
        </w:rPr>
        <w:t>DUP</w:t>
      </w:r>
      <w:r w:rsidRPr="00397219">
        <w:rPr>
          <w:rFonts w:ascii="Times New Roman" w:hAnsi="Times New Roman"/>
          <w:b/>
          <w:sz w:val="20"/>
          <w:szCs w:val="20"/>
          <w:lang w:eastAsia="it-IT"/>
        </w:rPr>
        <w:t xml:space="preserve"> 2019 </w:t>
      </w:r>
      <w:r w:rsidR="00D84744" w:rsidRPr="00397219">
        <w:rPr>
          <w:rFonts w:ascii="Times New Roman" w:hAnsi="Times New Roman"/>
          <w:b/>
          <w:sz w:val="20"/>
          <w:szCs w:val="20"/>
          <w:lang w:eastAsia="it-IT"/>
        </w:rPr>
        <w:t>-</w:t>
      </w:r>
      <w:r w:rsidRPr="00397219">
        <w:rPr>
          <w:rFonts w:ascii="Times New Roman" w:hAnsi="Times New Roman"/>
          <w:b/>
          <w:sz w:val="20"/>
          <w:szCs w:val="20"/>
          <w:lang w:eastAsia="it-IT"/>
        </w:rPr>
        <w:t xml:space="preserve"> 2021</w:t>
      </w:r>
      <w:r w:rsidRPr="00397219">
        <w:rPr>
          <w:rFonts w:ascii="Times New Roman" w:hAnsi="Times New Roman"/>
          <w:sz w:val="20"/>
          <w:szCs w:val="20"/>
          <w:lang w:eastAsia="it-IT"/>
        </w:rPr>
        <w:t xml:space="preserve">, alla sezione </w:t>
      </w:r>
      <w:r w:rsidR="00D84744" w:rsidRPr="00397219">
        <w:rPr>
          <w:rFonts w:ascii="Times New Roman" w:hAnsi="Times New Roman"/>
          <w:b/>
          <w:i/>
          <w:iCs/>
          <w:sz w:val="20"/>
          <w:szCs w:val="20"/>
          <w:lang w:eastAsia="it-IT"/>
        </w:rPr>
        <w:t xml:space="preserve">Valutazione situazione economica Enti Partecipati - </w:t>
      </w:r>
      <w:r w:rsidR="00D84744" w:rsidRPr="00397219">
        <w:rPr>
          <w:rFonts w:ascii="Times New Roman" w:hAnsi="Times New Roman"/>
          <w:b/>
          <w:bCs/>
          <w:i/>
          <w:sz w:val="20"/>
          <w:szCs w:val="20"/>
          <w:lang w:eastAsia="it-IT"/>
        </w:rPr>
        <w:t>Indirizzi alla società partecipa</w:t>
      </w:r>
      <w:r w:rsidRPr="00397219">
        <w:rPr>
          <w:rFonts w:ascii="Times New Roman" w:hAnsi="Times New Roman"/>
          <w:sz w:val="20"/>
          <w:szCs w:val="20"/>
          <w:lang w:eastAsia="it-IT"/>
        </w:rPr>
        <w:t>,</w:t>
      </w:r>
      <w:r w:rsidRPr="00397219">
        <w:rPr>
          <w:rFonts w:ascii="AGaramondPro-Italic" w:hAnsi="AGaramondPro-Italic" w:cs="AGaramondPro-Italic"/>
          <w:i/>
          <w:iCs/>
          <w:sz w:val="21"/>
          <w:szCs w:val="21"/>
          <w:lang w:eastAsia="it-IT"/>
        </w:rPr>
        <w:t xml:space="preserve"> </w:t>
      </w:r>
      <w:r w:rsidRPr="00397219">
        <w:rPr>
          <w:rFonts w:ascii="Times New Roman" w:hAnsi="Times New Roman"/>
          <w:iCs/>
          <w:sz w:val="20"/>
          <w:szCs w:val="20"/>
          <w:lang w:eastAsia="it-IT"/>
        </w:rPr>
        <w:t>indica gli indirizzi</w:t>
      </w:r>
      <w:r w:rsidR="00D84744" w:rsidRPr="00397219">
        <w:rPr>
          <w:rFonts w:ascii="Times New Roman" w:hAnsi="Times New Roman"/>
          <w:iCs/>
          <w:sz w:val="20"/>
          <w:szCs w:val="20"/>
          <w:lang w:eastAsia="it-IT"/>
        </w:rPr>
        <w:t xml:space="preserve"> </w:t>
      </w:r>
      <w:r w:rsidRPr="00397219">
        <w:rPr>
          <w:rFonts w:ascii="Times New Roman" w:hAnsi="Times New Roman"/>
          <w:sz w:val="20"/>
          <w:szCs w:val="20"/>
          <w:lang w:eastAsia="it-IT"/>
        </w:rPr>
        <w:t>che sono</w:t>
      </w:r>
      <w:r w:rsidR="00D84744" w:rsidRPr="00397219">
        <w:rPr>
          <w:rFonts w:ascii="Times New Roman" w:hAnsi="Times New Roman"/>
          <w:sz w:val="20"/>
          <w:szCs w:val="20"/>
          <w:lang w:eastAsia="it-IT"/>
        </w:rPr>
        <w:t xml:space="preserve"> </w:t>
      </w:r>
      <w:r w:rsidRPr="00397219">
        <w:rPr>
          <w:rFonts w:ascii="Times New Roman" w:hAnsi="Times New Roman"/>
          <w:sz w:val="20"/>
          <w:szCs w:val="20"/>
          <w:lang w:eastAsia="it-IT"/>
        </w:rPr>
        <w:t xml:space="preserve">attribuiti alle singole società controllate e che riguarderanno le principali tematiche di </w:t>
      </w:r>
      <w:r w:rsidRPr="00397219">
        <w:rPr>
          <w:rFonts w:ascii="Times New Roman" w:hAnsi="Times New Roman"/>
          <w:i/>
          <w:iCs/>
          <w:sz w:val="20"/>
          <w:szCs w:val="20"/>
          <w:lang w:eastAsia="it-IT"/>
        </w:rPr>
        <w:t xml:space="preserve">policy </w:t>
      </w:r>
      <w:r w:rsidR="00980ED9" w:rsidRPr="00397219">
        <w:rPr>
          <w:rFonts w:ascii="Times New Roman" w:hAnsi="Times New Roman"/>
          <w:sz w:val="20"/>
          <w:szCs w:val="20"/>
          <w:lang w:eastAsia="it-IT"/>
        </w:rPr>
        <w:t>comunale</w:t>
      </w:r>
      <w:r w:rsidRPr="00397219">
        <w:rPr>
          <w:rFonts w:ascii="Times New Roman" w:hAnsi="Times New Roman"/>
          <w:sz w:val="20"/>
          <w:szCs w:val="20"/>
          <w:lang w:eastAsia="it-IT"/>
        </w:rPr>
        <w:t>.</w:t>
      </w:r>
      <w:r>
        <w:rPr>
          <w:rFonts w:ascii="Times New Roman" w:hAnsi="Times New Roman"/>
          <w:sz w:val="20"/>
          <w:szCs w:val="20"/>
          <w:lang w:eastAsia="it-IT"/>
        </w:rPr>
        <w:t xml:space="preserve"> Nell’ambito </w:t>
      </w:r>
      <w:r w:rsidR="00BC3A4A">
        <w:rPr>
          <w:rFonts w:ascii="Times New Roman" w:hAnsi="Times New Roman"/>
          <w:sz w:val="20"/>
          <w:szCs w:val="20"/>
          <w:lang w:eastAsia="it-IT"/>
        </w:rPr>
        <w:t>del DUP</w:t>
      </w:r>
      <w:r>
        <w:rPr>
          <w:rFonts w:ascii="Times New Roman" w:hAnsi="Times New Roman"/>
          <w:sz w:val="20"/>
          <w:szCs w:val="20"/>
          <w:lang w:eastAsia="it-IT"/>
        </w:rPr>
        <w:t xml:space="preserve">, sono stati assegnati alla </w:t>
      </w:r>
      <w:r w:rsidR="00BC3A4A" w:rsidRPr="00014A79">
        <w:rPr>
          <w:rStyle w:val="Enfasigrassetto"/>
          <w:rFonts w:ascii="Times New Roman" w:hAnsi="Times New Roman"/>
          <w:sz w:val="20"/>
          <w:szCs w:val="20"/>
          <w:bdr w:val="none" w:sz="0" w:space="0" w:color="auto" w:frame="1"/>
          <w:shd w:val="clear" w:color="auto" w:fill="FFFFFF"/>
        </w:rPr>
        <w:t>Multiservizi dei Castelli di Marino S</w:t>
      </w:r>
      <w:r w:rsidR="00BC3A4A">
        <w:rPr>
          <w:rStyle w:val="Enfasigrassetto"/>
          <w:rFonts w:ascii="Times New Roman" w:hAnsi="Times New Roman"/>
          <w:sz w:val="20"/>
          <w:szCs w:val="20"/>
          <w:bdr w:val="none" w:sz="0" w:space="0" w:color="auto" w:frame="1"/>
          <w:shd w:val="clear" w:color="auto" w:fill="FFFFFF"/>
        </w:rPr>
        <w:t>.</w:t>
      </w:r>
      <w:r w:rsidR="00BC3A4A" w:rsidRPr="00014A79">
        <w:rPr>
          <w:rStyle w:val="Enfasigrassetto"/>
          <w:rFonts w:ascii="Times New Roman" w:hAnsi="Times New Roman"/>
          <w:sz w:val="20"/>
          <w:szCs w:val="20"/>
          <w:bdr w:val="none" w:sz="0" w:space="0" w:color="auto" w:frame="1"/>
          <w:shd w:val="clear" w:color="auto" w:fill="FFFFFF"/>
        </w:rPr>
        <w:t>p</w:t>
      </w:r>
      <w:r w:rsidR="00BC3A4A">
        <w:rPr>
          <w:rStyle w:val="Enfasigrassetto"/>
          <w:rFonts w:ascii="Times New Roman" w:hAnsi="Times New Roman"/>
          <w:sz w:val="20"/>
          <w:szCs w:val="20"/>
          <w:bdr w:val="none" w:sz="0" w:space="0" w:color="auto" w:frame="1"/>
          <w:shd w:val="clear" w:color="auto" w:fill="FFFFFF"/>
        </w:rPr>
        <w:t>.</w:t>
      </w:r>
      <w:r w:rsidR="00BC3A4A" w:rsidRPr="00014A79">
        <w:rPr>
          <w:rStyle w:val="Enfasigrassetto"/>
          <w:rFonts w:ascii="Times New Roman" w:hAnsi="Times New Roman"/>
          <w:sz w:val="20"/>
          <w:szCs w:val="20"/>
          <w:bdr w:val="none" w:sz="0" w:space="0" w:color="auto" w:frame="1"/>
          <w:shd w:val="clear" w:color="auto" w:fill="FFFFFF"/>
        </w:rPr>
        <w:t>A</w:t>
      </w:r>
      <w:r w:rsidR="00BC3A4A">
        <w:rPr>
          <w:rFonts w:ascii="Times New Roman" w:hAnsi="Times New Roman"/>
          <w:sz w:val="20"/>
          <w:szCs w:val="20"/>
          <w:shd w:val="clear" w:color="auto" w:fill="FFFFFF"/>
        </w:rPr>
        <w:t>.</w:t>
      </w:r>
      <w:r w:rsidR="00BE0B7E">
        <w:rPr>
          <w:rFonts w:ascii="Times New Roman" w:hAnsi="Times New Roman"/>
          <w:sz w:val="20"/>
          <w:szCs w:val="20"/>
          <w:shd w:val="clear" w:color="auto" w:fill="FFFFFF"/>
        </w:rPr>
        <w:t>, in data 28 dicembre 2018,</w:t>
      </w:r>
      <w:r w:rsidR="00BC3A4A" w:rsidRPr="00014A79">
        <w:rPr>
          <w:rFonts w:ascii="Times New Roman" w:hAnsi="Times New Roman"/>
          <w:sz w:val="20"/>
          <w:szCs w:val="20"/>
          <w:shd w:val="clear" w:color="auto" w:fill="FFFFFF"/>
        </w:rPr>
        <w:t xml:space="preserve"> </w:t>
      </w:r>
      <w:r>
        <w:rPr>
          <w:rFonts w:ascii="Times New Roman" w:hAnsi="Times New Roman"/>
          <w:sz w:val="20"/>
          <w:szCs w:val="20"/>
          <w:lang w:eastAsia="it-IT"/>
        </w:rPr>
        <w:t>i seguenti</w:t>
      </w:r>
      <w:r w:rsidR="00BC3A4A">
        <w:rPr>
          <w:rFonts w:ascii="Times New Roman" w:hAnsi="Times New Roman"/>
          <w:sz w:val="20"/>
          <w:szCs w:val="20"/>
          <w:lang w:eastAsia="it-IT"/>
        </w:rPr>
        <w:t xml:space="preserve"> </w:t>
      </w:r>
      <w:r w:rsidR="00BE0B7E">
        <w:rPr>
          <w:rFonts w:ascii="Times New Roman" w:hAnsi="Times New Roman"/>
          <w:sz w:val="20"/>
          <w:szCs w:val="20"/>
          <w:lang w:eastAsia="it-IT"/>
        </w:rPr>
        <w:t>indirizzi</w:t>
      </w:r>
      <w:r>
        <w:rPr>
          <w:rFonts w:ascii="Times New Roman" w:hAnsi="Times New Roman"/>
          <w:sz w:val="20"/>
          <w:szCs w:val="20"/>
          <w:lang w:eastAsia="it-IT"/>
        </w:rPr>
        <w:t>:</w:t>
      </w:r>
    </w:p>
    <w:p w14:paraId="60150CA5" w14:textId="7D973B1D"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Pr>
          <w:rFonts w:cs="Calibri"/>
          <w:lang w:eastAsia="it-IT"/>
        </w:rPr>
        <w:t xml:space="preserve">- </w:t>
      </w:r>
      <w:r w:rsidRPr="00086B0F">
        <w:rPr>
          <w:rFonts w:ascii="Times New Roman" w:hAnsi="Times New Roman"/>
          <w:i/>
          <w:sz w:val="20"/>
          <w:szCs w:val="20"/>
          <w:lang w:eastAsia="it-IT"/>
        </w:rPr>
        <w:t>Rispetto stringente della normativa anticorruzione e trasparenza</w:t>
      </w:r>
      <w:r w:rsidR="00F44703" w:rsidRPr="00086B0F">
        <w:rPr>
          <w:rFonts w:ascii="Times New Roman" w:hAnsi="Times New Roman"/>
          <w:i/>
          <w:sz w:val="20"/>
          <w:szCs w:val="20"/>
          <w:lang w:eastAsia="it-IT"/>
        </w:rPr>
        <w:t xml:space="preserve"> di cui alla L. 190/12 e del D.L</w:t>
      </w:r>
      <w:r w:rsidRPr="00086B0F">
        <w:rPr>
          <w:rFonts w:ascii="Times New Roman" w:hAnsi="Times New Roman"/>
          <w:i/>
          <w:sz w:val="20"/>
          <w:szCs w:val="20"/>
          <w:lang w:eastAsia="it-IT"/>
        </w:rPr>
        <w:t>gs 97/16 ed altresì recepiti nel protocollo di legalità sottoscritto fra il Comune e la Società, con relazione da presentarsi entro il 15/12/2016;</w:t>
      </w:r>
    </w:p>
    <w:p w14:paraId="1386C7B6" w14:textId="7A04D7F0"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086B0F">
        <w:rPr>
          <w:rFonts w:ascii="Times New Roman" w:hAnsi="Times New Roman"/>
          <w:i/>
          <w:sz w:val="20"/>
          <w:szCs w:val="20"/>
          <w:lang w:eastAsia="it-IT"/>
        </w:rPr>
        <w:t>- Rispetto della normativa dettata dal Nuovo Codice App</w:t>
      </w:r>
      <w:r w:rsidR="00D521F1" w:rsidRPr="00086B0F">
        <w:rPr>
          <w:rFonts w:ascii="Times New Roman" w:hAnsi="Times New Roman"/>
          <w:i/>
          <w:sz w:val="20"/>
          <w:szCs w:val="20"/>
          <w:lang w:eastAsia="it-IT"/>
        </w:rPr>
        <w:t>alti e concessioni di cui al D.L</w:t>
      </w:r>
      <w:r w:rsidRPr="00086B0F">
        <w:rPr>
          <w:rFonts w:ascii="Times New Roman" w:hAnsi="Times New Roman"/>
          <w:i/>
          <w:sz w:val="20"/>
          <w:szCs w:val="20"/>
          <w:lang w:eastAsia="it-IT"/>
        </w:rPr>
        <w:t>gs 50/2016 e dalla legge 208/15, con obbligo di previa comunicazione all’Ente degli Appalti di lavori servizi e forniture e degli incarichi professionali che la Società Partecipata intende porre in essere al fine della verifica degli atti da adottare, come pure di valutazione di eventuali procedure congiunte al fine della razionalizzazione della spesa e dell’ottenimento di condizioni di mercato più vantaggiose;</w:t>
      </w:r>
    </w:p>
    <w:p w14:paraId="0254FB76" w14:textId="77777777"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Obbligo di utilizzo, per le procedure di gara mediante affidamento diretto o procedura negoziata senza previa pubblicazione del bando di gara, degli albi fornitori, ditte e professionisti, nonché dell’albo degli avvocati del Comune di Marino, laddove la fornitura o il servizio richiesti non siano reperibili sul MEPA o su Consip;</w:t>
      </w:r>
    </w:p>
    <w:p w14:paraId="46D0F149" w14:textId="77777777"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397219">
        <w:rPr>
          <w:rFonts w:ascii="Times New Roman" w:hAnsi="Times New Roman"/>
          <w:sz w:val="20"/>
          <w:szCs w:val="20"/>
          <w:lang w:eastAsia="it-IT"/>
        </w:rPr>
        <w:lastRenderedPageBreak/>
        <w:t xml:space="preserve">- </w:t>
      </w:r>
      <w:r w:rsidRPr="00086B0F">
        <w:rPr>
          <w:rFonts w:ascii="Times New Roman" w:hAnsi="Times New Roman"/>
          <w:i/>
          <w:sz w:val="20"/>
          <w:szCs w:val="20"/>
          <w:lang w:eastAsia="it-IT"/>
        </w:rPr>
        <w:t>Informatizzazione del servizio di mensa scolastica, al fine di consentire una piena tracciabilità del procedimento e soprattutto ridurre i casi di morosità;</w:t>
      </w:r>
    </w:p>
    <w:p w14:paraId="560685FB" w14:textId="6C5CCD6C" w:rsidR="00BE0B7E" w:rsidRPr="00397219" w:rsidRDefault="00BE0B7E" w:rsidP="00397219">
      <w:pPr>
        <w:autoSpaceDE w:val="0"/>
        <w:autoSpaceDN w:val="0"/>
        <w:adjustRightInd w:val="0"/>
        <w:spacing w:after="0" w:line="240" w:lineRule="auto"/>
        <w:jc w:val="both"/>
        <w:rPr>
          <w:rFonts w:ascii="Times New Roman" w:hAnsi="Times New Roman"/>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Rispetto del codice di comportamento della pubblica amministrazione da parte dei dipendenti</w:t>
      </w:r>
      <w:r w:rsidR="00397219" w:rsidRPr="00086B0F">
        <w:rPr>
          <w:rFonts w:ascii="Times New Roman" w:hAnsi="Times New Roman"/>
          <w:i/>
          <w:sz w:val="20"/>
          <w:szCs w:val="20"/>
          <w:lang w:eastAsia="it-IT"/>
        </w:rPr>
        <w:t xml:space="preserve"> </w:t>
      </w:r>
      <w:r w:rsidRPr="00086B0F">
        <w:rPr>
          <w:rFonts w:ascii="Times New Roman" w:hAnsi="Times New Roman"/>
          <w:i/>
          <w:sz w:val="20"/>
          <w:szCs w:val="20"/>
          <w:lang w:eastAsia="it-IT"/>
        </w:rPr>
        <w:t>della Società Partecipata;</w:t>
      </w:r>
    </w:p>
    <w:p w14:paraId="545D403B" w14:textId="00CA0EF3" w:rsidR="00BE0B7E" w:rsidRPr="00086B0F" w:rsidRDefault="00BE0B7E" w:rsidP="00BE0B7E">
      <w:pPr>
        <w:autoSpaceDE w:val="0"/>
        <w:autoSpaceDN w:val="0"/>
        <w:adjustRightInd w:val="0"/>
        <w:spacing w:after="0" w:line="240" w:lineRule="auto"/>
        <w:rPr>
          <w:rFonts w:ascii="Times New Roman" w:hAnsi="Times New Roman"/>
          <w:i/>
          <w:sz w:val="20"/>
          <w:szCs w:val="20"/>
          <w:lang w:eastAsia="it-IT"/>
        </w:rPr>
      </w:pPr>
      <w:r w:rsidRPr="00397219">
        <w:rPr>
          <w:rFonts w:ascii="Times New Roman" w:hAnsi="Times New Roman"/>
          <w:sz w:val="20"/>
          <w:szCs w:val="20"/>
          <w:lang w:eastAsia="it-IT"/>
        </w:rPr>
        <w:t xml:space="preserve">- </w:t>
      </w:r>
      <w:r w:rsidRPr="00086B0F">
        <w:rPr>
          <w:rFonts w:ascii="Times New Roman" w:hAnsi="Times New Roman"/>
          <w:i/>
          <w:sz w:val="20"/>
          <w:szCs w:val="20"/>
          <w:lang w:eastAsia="it-IT"/>
        </w:rPr>
        <w:t xml:space="preserve">Ottimizzazione dei reporting dei contratti affidati, d’intesa con il </w:t>
      </w:r>
      <w:r w:rsidR="00402AF6">
        <w:rPr>
          <w:rFonts w:ascii="Times New Roman" w:hAnsi="Times New Roman"/>
          <w:i/>
          <w:sz w:val="20"/>
          <w:szCs w:val="20"/>
          <w:lang w:eastAsia="it-IT"/>
        </w:rPr>
        <w:t>Responsabile</w:t>
      </w:r>
      <w:r w:rsidRPr="00086B0F">
        <w:rPr>
          <w:rFonts w:ascii="Times New Roman" w:hAnsi="Times New Roman"/>
          <w:i/>
          <w:sz w:val="20"/>
          <w:szCs w:val="20"/>
          <w:lang w:eastAsia="it-IT"/>
        </w:rPr>
        <w:t xml:space="preserve"> competente;</w:t>
      </w:r>
    </w:p>
    <w:p w14:paraId="6C19C0B8" w14:textId="3A8BD545" w:rsidR="00BE0B7E" w:rsidRPr="00086B0F" w:rsidRDefault="00BE0B7E" w:rsidP="00BE0B7E">
      <w:pPr>
        <w:autoSpaceDE w:val="0"/>
        <w:autoSpaceDN w:val="0"/>
        <w:adjustRightInd w:val="0"/>
        <w:spacing w:after="0" w:line="240" w:lineRule="auto"/>
        <w:jc w:val="both"/>
        <w:rPr>
          <w:rFonts w:ascii="Times New Roman" w:hAnsi="Times New Roman"/>
          <w:i/>
          <w:sz w:val="20"/>
          <w:szCs w:val="20"/>
          <w:lang w:eastAsia="it-IT"/>
        </w:rPr>
      </w:pPr>
      <w:r w:rsidRPr="00086B0F">
        <w:rPr>
          <w:rFonts w:ascii="Times New Roman" w:hAnsi="Times New Roman"/>
          <w:i/>
          <w:sz w:val="20"/>
          <w:szCs w:val="20"/>
          <w:lang w:eastAsia="it-IT"/>
        </w:rPr>
        <w:t>- Informatizzazione estesa dei servizi erogati e dei reporting sui servizi resi anche in base a quanto previsto dal regolamento Comunale sui controlli interni;</w:t>
      </w:r>
    </w:p>
    <w:p w14:paraId="4AA77924" w14:textId="17D7077D" w:rsidR="00BC3A4A" w:rsidRPr="00086B0F" w:rsidRDefault="00FF2492" w:rsidP="00FF2492">
      <w:pPr>
        <w:autoSpaceDE w:val="0"/>
        <w:autoSpaceDN w:val="0"/>
        <w:adjustRightInd w:val="0"/>
        <w:spacing w:after="0" w:line="240" w:lineRule="auto"/>
        <w:jc w:val="both"/>
        <w:rPr>
          <w:rFonts w:ascii="Times New Roman" w:hAnsi="Times New Roman"/>
          <w:i/>
          <w:sz w:val="20"/>
          <w:szCs w:val="20"/>
          <w:lang w:eastAsia="it-IT"/>
        </w:rPr>
      </w:pPr>
      <w:r w:rsidRPr="00086B0F">
        <w:rPr>
          <w:rFonts w:ascii="Times New Roman" w:hAnsi="Times New Roman"/>
          <w:i/>
          <w:sz w:val="20"/>
          <w:szCs w:val="20"/>
          <w:lang w:eastAsia="it-IT"/>
        </w:rPr>
        <w:t xml:space="preserve">- </w:t>
      </w:r>
      <w:r w:rsidR="00BE0B7E" w:rsidRPr="00086B0F">
        <w:rPr>
          <w:rFonts w:ascii="Times New Roman" w:hAnsi="Times New Roman"/>
          <w:i/>
          <w:sz w:val="20"/>
          <w:szCs w:val="20"/>
          <w:lang w:eastAsia="it-IT"/>
        </w:rPr>
        <w:t>Consolidamento in Bilancio con l’Ente territoriale e adozione di tutti i processi e sistemi previsti</w:t>
      </w:r>
      <w:r w:rsidRPr="00086B0F">
        <w:rPr>
          <w:rFonts w:ascii="Times New Roman" w:hAnsi="Times New Roman"/>
          <w:i/>
          <w:sz w:val="20"/>
          <w:szCs w:val="20"/>
          <w:lang w:eastAsia="it-IT"/>
        </w:rPr>
        <w:t xml:space="preserve"> </w:t>
      </w:r>
      <w:r w:rsidR="00BE0B7E" w:rsidRPr="00086B0F">
        <w:rPr>
          <w:rFonts w:ascii="Times New Roman" w:hAnsi="Times New Roman"/>
          <w:i/>
          <w:sz w:val="20"/>
          <w:szCs w:val="20"/>
          <w:lang w:eastAsia="it-IT"/>
        </w:rPr>
        <w:t>dalla</w:t>
      </w:r>
      <w:r w:rsidRPr="00086B0F">
        <w:rPr>
          <w:rFonts w:ascii="Times New Roman" w:hAnsi="Times New Roman"/>
          <w:i/>
          <w:sz w:val="20"/>
          <w:szCs w:val="20"/>
          <w:lang w:eastAsia="it-IT"/>
        </w:rPr>
        <w:t xml:space="preserve"> </w:t>
      </w:r>
      <w:r w:rsidR="00BE0B7E" w:rsidRPr="00086B0F">
        <w:rPr>
          <w:rFonts w:ascii="Times New Roman" w:hAnsi="Times New Roman"/>
          <w:i/>
          <w:sz w:val="20"/>
          <w:szCs w:val="20"/>
          <w:lang w:eastAsia="it-IT"/>
        </w:rPr>
        <w:t>legge in inte</w:t>
      </w:r>
      <w:r w:rsidR="002B238A">
        <w:rPr>
          <w:rFonts w:ascii="Times New Roman" w:hAnsi="Times New Roman"/>
          <w:i/>
          <w:sz w:val="20"/>
          <w:szCs w:val="20"/>
          <w:lang w:eastAsia="it-IT"/>
        </w:rPr>
        <w:t xml:space="preserve">razione con il </w:t>
      </w:r>
      <w:r w:rsidRPr="00086B0F">
        <w:rPr>
          <w:rFonts w:ascii="Times New Roman" w:hAnsi="Times New Roman"/>
          <w:i/>
          <w:sz w:val="20"/>
          <w:szCs w:val="20"/>
          <w:lang w:eastAsia="it-IT"/>
        </w:rPr>
        <w:t>R</w:t>
      </w:r>
      <w:r w:rsidR="00BE0B7E" w:rsidRPr="00086B0F">
        <w:rPr>
          <w:rFonts w:ascii="Times New Roman" w:hAnsi="Times New Roman"/>
          <w:i/>
          <w:sz w:val="20"/>
          <w:szCs w:val="20"/>
          <w:lang w:eastAsia="it-IT"/>
        </w:rPr>
        <w:t>esponsabile.</w:t>
      </w:r>
      <w:r w:rsidR="00BC3A4A" w:rsidRPr="00086B0F">
        <w:rPr>
          <w:rFonts w:ascii="Times New Roman" w:hAnsi="Times New Roman"/>
          <w:i/>
          <w:sz w:val="20"/>
          <w:szCs w:val="20"/>
          <w:lang w:eastAsia="it-IT"/>
        </w:rPr>
        <w:t xml:space="preserve"> </w:t>
      </w:r>
    </w:p>
    <w:p w14:paraId="723ED035" w14:textId="0FD28F21" w:rsidR="00BC3A4A" w:rsidRPr="00397219" w:rsidRDefault="00BC3A4A" w:rsidP="00FF2492">
      <w:pPr>
        <w:autoSpaceDE w:val="0"/>
        <w:autoSpaceDN w:val="0"/>
        <w:adjustRightInd w:val="0"/>
        <w:spacing w:after="0" w:line="240" w:lineRule="auto"/>
        <w:jc w:val="both"/>
        <w:rPr>
          <w:rFonts w:ascii="Times New Roman" w:hAnsi="Times New Roman"/>
          <w:sz w:val="20"/>
          <w:szCs w:val="20"/>
          <w:lang w:eastAsia="it-IT"/>
        </w:rPr>
      </w:pPr>
      <w:r w:rsidRPr="00086B0F">
        <w:rPr>
          <w:rFonts w:ascii="Times New Roman" w:hAnsi="Times New Roman"/>
          <w:i/>
          <w:sz w:val="20"/>
          <w:szCs w:val="20"/>
          <w:lang w:eastAsia="it-IT"/>
        </w:rPr>
        <w:t xml:space="preserve">- </w:t>
      </w:r>
      <w:r w:rsidR="00FF2492" w:rsidRPr="00086B0F">
        <w:rPr>
          <w:rFonts w:ascii="Times New Roman" w:hAnsi="Times New Roman"/>
          <w:i/>
          <w:sz w:val="20"/>
          <w:szCs w:val="20"/>
          <w:lang w:eastAsia="it-IT"/>
        </w:rPr>
        <w:t xml:space="preserve">Realizzazione di progetti pilota su porzioni di territorio, utili al passaggio alla gestione della RSU al sistema “porta a porta”, nel quadro del progetto Stay Compost proposto da questa </w:t>
      </w:r>
      <w:r w:rsidR="00397219" w:rsidRPr="00086B0F">
        <w:rPr>
          <w:rFonts w:ascii="Times New Roman" w:hAnsi="Times New Roman"/>
          <w:i/>
          <w:sz w:val="20"/>
          <w:szCs w:val="20"/>
          <w:lang w:eastAsia="it-IT"/>
        </w:rPr>
        <w:t>amministrazione.</w:t>
      </w:r>
    </w:p>
    <w:p w14:paraId="128D207B" w14:textId="292E94CE"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B23CCF3" w14:textId="77777777" w:rsidR="00603F3F" w:rsidRPr="00EC1ACB" w:rsidRDefault="00603F3F" w:rsidP="00603F3F">
      <w:pPr>
        <w:pStyle w:val="Titolo3"/>
        <w:keepNext w:val="0"/>
        <w:widowControl w:val="0"/>
        <w:spacing w:line="276" w:lineRule="auto"/>
        <w:ind w:left="426" w:hanging="426"/>
        <w:contextualSpacing w:val="0"/>
      </w:pPr>
      <w:bookmarkStart w:id="9" w:name="_Toc535854390"/>
      <w:r w:rsidRPr="00EC1ACB">
        <w:t xml:space="preserve">Piano Operativo </w:t>
      </w:r>
      <w:r>
        <w:rPr>
          <w:lang w:val="it-IT"/>
        </w:rPr>
        <w:t>Annuale</w:t>
      </w:r>
      <w:bookmarkEnd w:id="9"/>
    </w:p>
    <w:p w14:paraId="377A5DF2" w14:textId="3B6D45D3" w:rsidR="00603F3F" w:rsidRDefault="00603F3F" w:rsidP="00603F3F">
      <w:pPr>
        <w:widowControl w:val="0"/>
        <w:autoSpaceDE w:val="0"/>
        <w:autoSpaceDN w:val="0"/>
        <w:adjustRightInd w:val="0"/>
        <w:spacing w:after="0"/>
        <w:jc w:val="both"/>
        <w:rPr>
          <w:rFonts w:ascii="Times New Roman" w:hAnsi="Times New Roman"/>
          <w:sz w:val="20"/>
          <w:szCs w:val="20"/>
          <w:lang w:eastAsia="it-IT"/>
        </w:rPr>
      </w:pPr>
      <w:r w:rsidRPr="00F6488C">
        <w:rPr>
          <w:rFonts w:ascii="Times New Roman" w:hAnsi="Times New Roman"/>
          <w:color w:val="000000"/>
          <w:sz w:val="20"/>
          <w:szCs w:val="20"/>
          <w:lang w:eastAsia="it-IT"/>
        </w:rPr>
        <w:t xml:space="preserve">Oltre a quanto espresso dal </w:t>
      </w:r>
      <w:r w:rsidR="00135A41">
        <w:rPr>
          <w:rFonts w:ascii="Times New Roman" w:hAnsi="Times New Roman"/>
          <w:color w:val="000000"/>
          <w:sz w:val="20"/>
          <w:szCs w:val="20"/>
          <w:lang w:eastAsia="it-IT"/>
        </w:rPr>
        <w:t>DUP del Comune di Marino</w:t>
      </w:r>
      <w:r w:rsidRPr="00F6488C">
        <w:rPr>
          <w:rFonts w:ascii="Times New Roman" w:hAnsi="Times New Roman"/>
          <w:color w:val="000000"/>
          <w:sz w:val="20"/>
          <w:szCs w:val="20"/>
          <w:lang w:eastAsia="it-IT"/>
        </w:rPr>
        <w:t>, la</w:t>
      </w:r>
      <w:r>
        <w:rPr>
          <w:rFonts w:ascii="Times New Roman" w:hAnsi="Times New Roman"/>
          <w:color w:val="000000"/>
          <w:sz w:val="20"/>
          <w:szCs w:val="20"/>
          <w:lang w:eastAsia="it-IT"/>
        </w:rPr>
        <w:t xml:space="preserve"> società</w:t>
      </w:r>
      <w:r w:rsidRPr="00F6488C">
        <w:rPr>
          <w:rFonts w:ascii="Times New Roman" w:hAnsi="Times New Roman"/>
          <w:color w:val="000000"/>
          <w:sz w:val="20"/>
          <w:szCs w:val="20"/>
          <w:lang w:eastAsia="it-IT"/>
        </w:rPr>
        <w:t xml:space="preserve"> fonda le sue scelte e fissa i propri obiettivi sulla base di quanto</w:t>
      </w:r>
      <w:r>
        <w:rPr>
          <w:rFonts w:ascii="Times New Roman" w:hAnsi="Times New Roman"/>
          <w:color w:val="000000"/>
          <w:sz w:val="20"/>
          <w:szCs w:val="20"/>
          <w:lang w:eastAsia="it-IT"/>
        </w:rPr>
        <w:t xml:space="preserve"> </w:t>
      </w:r>
      <w:r w:rsidRPr="00F6488C">
        <w:rPr>
          <w:rFonts w:ascii="Times New Roman" w:hAnsi="Times New Roman"/>
          <w:color w:val="000000"/>
          <w:sz w:val="20"/>
          <w:szCs w:val="20"/>
          <w:lang w:eastAsia="it-IT"/>
        </w:rPr>
        <w:t xml:space="preserve">espresso dal </w:t>
      </w:r>
      <w:r>
        <w:rPr>
          <w:rFonts w:ascii="Times New Roman" w:hAnsi="Times New Roman"/>
          <w:color w:val="000000"/>
          <w:sz w:val="20"/>
          <w:szCs w:val="20"/>
          <w:lang w:eastAsia="it-IT"/>
        </w:rPr>
        <w:t>Piano Operativo Annuale</w:t>
      </w:r>
      <w:r w:rsidRPr="00F6488C">
        <w:rPr>
          <w:rFonts w:ascii="Times New Roman" w:hAnsi="Times New Roman"/>
          <w:color w:val="000000"/>
          <w:sz w:val="20"/>
          <w:szCs w:val="20"/>
          <w:lang w:eastAsia="it-IT"/>
        </w:rPr>
        <w:t>, documento attraverso il</w:t>
      </w:r>
      <w:r>
        <w:rPr>
          <w:rFonts w:ascii="Times New Roman" w:hAnsi="Times New Roman"/>
          <w:color w:val="000000"/>
          <w:sz w:val="20"/>
          <w:szCs w:val="20"/>
          <w:lang w:eastAsia="it-IT"/>
        </w:rPr>
        <w:t xml:space="preserve"> </w:t>
      </w:r>
      <w:r w:rsidRPr="00F6488C">
        <w:rPr>
          <w:rFonts w:ascii="Times New Roman" w:hAnsi="Times New Roman"/>
          <w:sz w:val="20"/>
          <w:szCs w:val="20"/>
          <w:lang w:eastAsia="it-IT"/>
        </w:rPr>
        <w:t xml:space="preserve">quale, preso atto di quanto stabilito dallo stesso </w:t>
      </w:r>
      <w:r w:rsidR="00BC3A4A">
        <w:rPr>
          <w:rFonts w:ascii="Times New Roman" w:hAnsi="Times New Roman"/>
          <w:sz w:val="20"/>
          <w:szCs w:val="20"/>
          <w:lang w:eastAsia="it-IT"/>
        </w:rPr>
        <w:t>DUP</w:t>
      </w:r>
      <w:r w:rsidRPr="00F6488C">
        <w:rPr>
          <w:rFonts w:ascii="Times New Roman" w:hAnsi="Times New Roman"/>
          <w:sz w:val="20"/>
          <w:szCs w:val="20"/>
          <w:lang w:eastAsia="it-IT"/>
        </w:rPr>
        <w:t xml:space="preserve"> e delle informazioni</w:t>
      </w:r>
      <w:r>
        <w:rPr>
          <w:rFonts w:ascii="Times New Roman" w:hAnsi="Times New Roman"/>
          <w:sz w:val="20"/>
          <w:szCs w:val="20"/>
          <w:lang w:eastAsia="it-IT"/>
        </w:rPr>
        <w:t xml:space="preserve"> </w:t>
      </w:r>
      <w:r w:rsidRPr="00F6488C">
        <w:rPr>
          <w:rFonts w:ascii="Times New Roman" w:hAnsi="Times New Roman"/>
          <w:sz w:val="20"/>
          <w:szCs w:val="20"/>
          <w:lang w:eastAsia="it-IT"/>
        </w:rPr>
        <w:t>contenute all’inter</w:t>
      </w:r>
      <w:r w:rsidR="00397219">
        <w:rPr>
          <w:rFonts w:ascii="Times New Roman" w:hAnsi="Times New Roman"/>
          <w:sz w:val="20"/>
          <w:szCs w:val="20"/>
          <w:lang w:eastAsia="it-IT"/>
        </w:rPr>
        <w:t>no del Piano Strategico Annuale</w:t>
      </w:r>
      <w:r w:rsidRPr="00F6488C">
        <w:rPr>
          <w:rFonts w:ascii="Times New Roman" w:hAnsi="Times New Roman"/>
          <w:sz w:val="20"/>
          <w:szCs w:val="20"/>
          <w:lang w:eastAsia="it-IT"/>
        </w:rPr>
        <w:t>, si indicano</w:t>
      </w:r>
      <w:r>
        <w:rPr>
          <w:rFonts w:ascii="Times New Roman" w:hAnsi="Times New Roman"/>
          <w:sz w:val="20"/>
          <w:szCs w:val="20"/>
          <w:lang w:eastAsia="it-IT"/>
        </w:rPr>
        <w:t xml:space="preserve"> </w:t>
      </w:r>
      <w:r w:rsidRPr="00F6488C">
        <w:rPr>
          <w:rFonts w:ascii="Times New Roman" w:hAnsi="Times New Roman"/>
          <w:sz w:val="20"/>
          <w:szCs w:val="20"/>
          <w:lang w:eastAsia="it-IT"/>
        </w:rPr>
        <w:t xml:space="preserve">le attività che </w:t>
      </w:r>
      <w:r>
        <w:rPr>
          <w:rFonts w:ascii="Times New Roman" w:hAnsi="Times New Roman"/>
          <w:sz w:val="20"/>
          <w:szCs w:val="20"/>
          <w:lang w:eastAsia="it-IT"/>
        </w:rPr>
        <w:t>essa</w:t>
      </w:r>
      <w:r w:rsidRPr="00F6488C">
        <w:rPr>
          <w:rFonts w:ascii="Times New Roman" w:hAnsi="Times New Roman"/>
          <w:sz w:val="20"/>
          <w:szCs w:val="20"/>
          <w:lang w:eastAsia="it-IT"/>
        </w:rPr>
        <w:t xml:space="preserve"> porrà in essere per l’anno finanziario di riferimento,</w:t>
      </w:r>
      <w:r>
        <w:rPr>
          <w:rFonts w:ascii="Times New Roman" w:hAnsi="Times New Roman"/>
          <w:sz w:val="20"/>
          <w:szCs w:val="20"/>
          <w:lang w:eastAsia="it-IT"/>
        </w:rPr>
        <w:t xml:space="preserve"> </w:t>
      </w:r>
      <w:r w:rsidRPr="00F6488C">
        <w:rPr>
          <w:rFonts w:ascii="Times New Roman" w:hAnsi="Times New Roman"/>
          <w:sz w:val="20"/>
          <w:szCs w:val="20"/>
          <w:lang w:eastAsia="it-IT"/>
        </w:rPr>
        <w:t xml:space="preserve">a supporto </w:t>
      </w:r>
      <w:r w:rsidR="00BC3A4A">
        <w:rPr>
          <w:rFonts w:ascii="Times New Roman" w:hAnsi="Times New Roman"/>
          <w:sz w:val="20"/>
          <w:szCs w:val="20"/>
          <w:lang w:eastAsia="it-IT"/>
        </w:rPr>
        <w:t>del Comune</w:t>
      </w:r>
      <w:r w:rsidRPr="00F6488C">
        <w:rPr>
          <w:rFonts w:ascii="Times New Roman" w:hAnsi="Times New Roman"/>
          <w:sz w:val="20"/>
          <w:szCs w:val="20"/>
          <w:lang w:eastAsia="it-IT"/>
        </w:rPr>
        <w:t xml:space="preserve"> e a beneficio dei suoi cittadini.</w:t>
      </w:r>
    </w:p>
    <w:p w14:paraId="0C482B9A" w14:textId="2CFF9596" w:rsidR="00603F3F" w:rsidRDefault="00603F3F" w:rsidP="00603F3F">
      <w:pPr>
        <w:widowControl w:val="0"/>
        <w:autoSpaceDE w:val="0"/>
        <w:autoSpaceDN w:val="0"/>
        <w:adjustRightInd w:val="0"/>
        <w:spacing w:after="0"/>
        <w:jc w:val="both"/>
        <w:rPr>
          <w:rFonts w:ascii="Times New Roman" w:hAnsi="Times New Roman"/>
          <w:sz w:val="20"/>
          <w:szCs w:val="20"/>
          <w:lang w:eastAsia="it-IT"/>
        </w:rPr>
      </w:pPr>
      <w:r w:rsidRPr="004F713E">
        <w:rPr>
          <w:rFonts w:ascii="Times New Roman" w:hAnsi="Times New Roman"/>
          <w:sz w:val="20"/>
          <w:szCs w:val="20"/>
          <w:lang w:eastAsia="it-IT"/>
        </w:rPr>
        <w:t>Facendo riferimento all’anno finanziario 201</w:t>
      </w:r>
      <w:r w:rsidR="00BC3A4A">
        <w:rPr>
          <w:rFonts w:ascii="Times New Roman" w:hAnsi="Times New Roman"/>
          <w:sz w:val="20"/>
          <w:szCs w:val="20"/>
          <w:lang w:eastAsia="it-IT"/>
        </w:rPr>
        <w:t>9</w:t>
      </w:r>
      <w:r w:rsidRPr="004F713E">
        <w:rPr>
          <w:rFonts w:ascii="Times New Roman" w:hAnsi="Times New Roman"/>
          <w:sz w:val="20"/>
          <w:szCs w:val="20"/>
          <w:lang w:eastAsia="it-IT"/>
        </w:rPr>
        <w:t>, il P</w:t>
      </w:r>
      <w:r w:rsidR="00BC3A4A">
        <w:rPr>
          <w:rFonts w:ascii="Times New Roman" w:hAnsi="Times New Roman"/>
          <w:sz w:val="20"/>
          <w:szCs w:val="20"/>
          <w:lang w:eastAsia="it-IT"/>
        </w:rPr>
        <w:t xml:space="preserve">iano </w:t>
      </w:r>
      <w:r w:rsidRPr="004F713E">
        <w:rPr>
          <w:rFonts w:ascii="Times New Roman" w:hAnsi="Times New Roman"/>
          <w:sz w:val="20"/>
          <w:szCs w:val="20"/>
          <w:lang w:eastAsia="it-IT"/>
        </w:rPr>
        <w:t>O</w:t>
      </w:r>
      <w:r w:rsidR="00BC3A4A">
        <w:rPr>
          <w:rFonts w:ascii="Times New Roman" w:hAnsi="Times New Roman"/>
          <w:sz w:val="20"/>
          <w:szCs w:val="20"/>
          <w:lang w:eastAsia="it-IT"/>
        </w:rPr>
        <w:t xml:space="preserve">perativo </w:t>
      </w:r>
      <w:r w:rsidRPr="004F713E">
        <w:rPr>
          <w:rFonts w:ascii="Times New Roman" w:hAnsi="Times New Roman"/>
          <w:sz w:val="20"/>
          <w:szCs w:val="20"/>
          <w:lang w:eastAsia="it-IT"/>
        </w:rPr>
        <w:t>A</w:t>
      </w:r>
      <w:r w:rsidR="00BC3A4A">
        <w:rPr>
          <w:rFonts w:ascii="Times New Roman" w:hAnsi="Times New Roman"/>
          <w:sz w:val="20"/>
          <w:szCs w:val="20"/>
          <w:lang w:eastAsia="it-IT"/>
        </w:rPr>
        <w:t xml:space="preserve">nnuale </w:t>
      </w:r>
      <w:r w:rsidRPr="004F713E">
        <w:rPr>
          <w:rFonts w:ascii="Times New Roman" w:hAnsi="Times New Roman"/>
          <w:sz w:val="20"/>
          <w:szCs w:val="20"/>
          <w:lang w:eastAsia="it-IT"/>
        </w:rPr>
        <w:t xml:space="preserve">ha indicato </w:t>
      </w:r>
      <w:r w:rsidR="00BC3A4A">
        <w:rPr>
          <w:rFonts w:ascii="Times New Roman" w:hAnsi="Times New Roman"/>
          <w:sz w:val="20"/>
          <w:szCs w:val="20"/>
          <w:lang w:eastAsia="it-IT"/>
        </w:rPr>
        <w:t>21</w:t>
      </w:r>
      <w:r w:rsidRPr="004F713E">
        <w:rPr>
          <w:rFonts w:ascii="Times New Roman" w:hAnsi="Times New Roman"/>
          <w:sz w:val="20"/>
          <w:szCs w:val="20"/>
          <w:lang w:eastAsia="it-IT"/>
        </w:rPr>
        <w:t xml:space="preserve"> ambiti di intervento</w:t>
      </w:r>
      <w:r w:rsidR="00BC3A4A">
        <w:rPr>
          <w:rFonts w:ascii="Times New Roman" w:hAnsi="Times New Roman"/>
          <w:sz w:val="20"/>
          <w:szCs w:val="20"/>
          <w:lang w:eastAsia="it-IT"/>
        </w:rPr>
        <w:t xml:space="preserve"> (Cfr. Tabella 1).</w:t>
      </w:r>
    </w:p>
    <w:p w14:paraId="6B1B06B2" w14:textId="77777777" w:rsidR="00603F3F" w:rsidRPr="00320B8E" w:rsidRDefault="00603F3F" w:rsidP="00603F3F">
      <w:pPr>
        <w:widowControl w:val="0"/>
        <w:spacing w:after="0"/>
        <w:jc w:val="both"/>
        <w:rPr>
          <w:rFonts w:ascii="Times New Roman" w:hAnsi="Times New Roman"/>
          <w:sz w:val="20"/>
          <w:szCs w:val="20"/>
          <w:lang w:eastAsia="it-IT"/>
        </w:rPr>
      </w:pPr>
    </w:p>
    <w:p w14:paraId="06DCBB1A" w14:textId="55C7FC0E" w:rsidR="00603F3F" w:rsidRPr="00BC3A4A" w:rsidRDefault="00603F3F" w:rsidP="00603F3F">
      <w:pPr>
        <w:pStyle w:val="Titolo2"/>
        <w:keepNext w:val="0"/>
        <w:spacing w:line="276" w:lineRule="auto"/>
        <w:ind w:left="426" w:hanging="426"/>
        <w:rPr>
          <w:color w:val="0070C0"/>
        </w:rPr>
      </w:pPr>
      <w:bookmarkStart w:id="10" w:name="_Toc535854391"/>
      <w:r w:rsidRPr="00BC3A4A">
        <w:rPr>
          <w:color w:val="0070C0"/>
        </w:rPr>
        <w:t>Il Piano Triennale di Prevenzione della Corruzione e per la Trasparenza triennio 2019-2021</w:t>
      </w:r>
      <w:bookmarkEnd w:id="10"/>
    </w:p>
    <w:p w14:paraId="5D027F3A" w14:textId="12C66BC8" w:rsidR="00603F3F" w:rsidRPr="00CD7FBE" w:rsidRDefault="00603F3F" w:rsidP="00603F3F">
      <w:pPr>
        <w:widowControl w:val="0"/>
        <w:autoSpaceDE w:val="0"/>
        <w:autoSpaceDN w:val="0"/>
        <w:adjustRightInd w:val="0"/>
        <w:spacing w:after="0"/>
        <w:jc w:val="both"/>
        <w:rPr>
          <w:rFonts w:ascii="Times New Roman" w:hAnsi="Times New Roman"/>
          <w:sz w:val="20"/>
          <w:szCs w:val="20"/>
        </w:rPr>
      </w:pPr>
      <w:r w:rsidRPr="00F6488C">
        <w:rPr>
          <w:rFonts w:ascii="Times New Roman" w:hAnsi="Times New Roman"/>
          <w:color w:val="000000"/>
          <w:sz w:val="20"/>
          <w:szCs w:val="20"/>
          <w:lang w:eastAsia="it-IT"/>
        </w:rPr>
        <w:t xml:space="preserve">Il </w:t>
      </w:r>
      <w:r>
        <w:rPr>
          <w:rFonts w:ascii="Times New Roman" w:hAnsi="Times New Roman"/>
          <w:color w:val="000000"/>
          <w:sz w:val="20"/>
          <w:szCs w:val="20"/>
          <w:lang w:eastAsia="it-IT"/>
        </w:rPr>
        <w:t xml:space="preserve">quarto </w:t>
      </w:r>
      <w:r w:rsidRPr="00F6488C">
        <w:rPr>
          <w:rFonts w:ascii="Times New Roman" w:hAnsi="Times New Roman"/>
          <w:color w:val="000000"/>
          <w:sz w:val="20"/>
          <w:szCs w:val="20"/>
          <w:lang w:eastAsia="it-IT"/>
        </w:rPr>
        <w:t xml:space="preserve">Piano di Prevenzione della corruzione, per il </w:t>
      </w:r>
      <w:r w:rsidRPr="0080666F">
        <w:rPr>
          <w:rFonts w:ascii="Times New Roman" w:hAnsi="Times New Roman"/>
          <w:color w:val="000000"/>
          <w:sz w:val="20"/>
        </w:rPr>
        <w:t xml:space="preserve">triennio </w:t>
      </w:r>
      <w:r w:rsidRPr="00F6488C">
        <w:rPr>
          <w:rFonts w:ascii="Times New Roman" w:hAnsi="Times New Roman"/>
          <w:color w:val="000000"/>
          <w:sz w:val="20"/>
          <w:szCs w:val="20"/>
          <w:lang w:eastAsia="it-IT"/>
        </w:rPr>
        <w:t>201</w:t>
      </w:r>
      <w:r>
        <w:rPr>
          <w:rFonts w:ascii="Times New Roman" w:hAnsi="Times New Roman"/>
          <w:color w:val="000000"/>
          <w:sz w:val="20"/>
          <w:szCs w:val="20"/>
          <w:lang w:eastAsia="it-IT"/>
        </w:rPr>
        <w:t>9</w:t>
      </w:r>
      <w:r w:rsidRPr="00F6488C">
        <w:rPr>
          <w:rFonts w:ascii="Times New Roman" w:hAnsi="Times New Roman"/>
          <w:color w:val="000000"/>
          <w:sz w:val="20"/>
          <w:szCs w:val="20"/>
          <w:lang w:eastAsia="it-IT"/>
        </w:rPr>
        <w:t>/202</w:t>
      </w:r>
      <w:r>
        <w:rPr>
          <w:rFonts w:ascii="Times New Roman" w:hAnsi="Times New Roman"/>
          <w:color w:val="000000"/>
          <w:sz w:val="20"/>
          <w:szCs w:val="20"/>
          <w:lang w:eastAsia="it-IT"/>
        </w:rPr>
        <w:t>1</w:t>
      </w:r>
      <w:r w:rsidRPr="00F6488C">
        <w:rPr>
          <w:rFonts w:ascii="Times New Roman" w:hAnsi="Times New Roman"/>
          <w:color w:val="000000"/>
          <w:sz w:val="20"/>
          <w:szCs w:val="20"/>
          <w:lang w:eastAsia="it-IT"/>
        </w:rPr>
        <w:t>, è stato elaborato sulla base di uno scenario in trasformazione della struttura come meglio illustrato nel</w:t>
      </w:r>
      <w:r>
        <w:rPr>
          <w:rFonts w:ascii="Times New Roman" w:hAnsi="Times New Roman"/>
          <w:color w:val="000000"/>
          <w:sz w:val="20"/>
          <w:szCs w:val="20"/>
          <w:lang w:eastAsia="it-IT"/>
        </w:rPr>
        <w:t>l’introduzione</w:t>
      </w:r>
      <w:r w:rsidRPr="0080666F">
        <w:rPr>
          <w:rFonts w:ascii="Times New Roman" w:hAnsi="Times New Roman"/>
          <w:color w:val="000000"/>
          <w:sz w:val="20"/>
        </w:rPr>
        <w:t>.</w:t>
      </w:r>
    </w:p>
    <w:p w14:paraId="43D7C968" w14:textId="77777777" w:rsidR="00603F3F" w:rsidRPr="00CD7FBE" w:rsidRDefault="00603F3F" w:rsidP="00603F3F">
      <w:pPr>
        <w:widowControl w:val="0"/>
        <w:autoSpaceDE w:val="0"/>
        <w:autoSpaceDN w:val="0"/>
        <w:adjustRightInd w:val="0"/>
        <w:spacing w:after="0"/>
        <w:jc w:val="both"/>
        <w:rPr>
          <w:rFonts w:ascii="Times New Roman" w:hAnsi="Times New Roman"/>
          <w:sz w:val="20"/>
          <w:szCs w:val="20"/>
        </w:rPr>
      </w:pPr>
    </w:p>
    <w:p w14:paraId="485685DB" w14:textId="2E16B881" w:rsidR="00603F3F" w:rsidRDefault="00135A41" w:rsidP="00603F3F">
      <w:pPr>
        <w:widowControl w:val="0"/>
        <w:autoSpaceDE w:val="0"/>
        <w:autoSpaceDN w:val="0"/>
        <w:adjustRightInd w:val="0"/>
        <w:spacing w:after="0"/>
        <w:jc w:val="both"/>
        <w:rPr>
          <w:rFonts w:ascii="Times New Roman" w:hAnsi="Times New Roman"/>
          <w:iCs/>
          <w:sz w:val="20"/>
          <w:szCs w:val="20"/>
        </w:rPr>
      </w:pPr>
      <w:r w:rsidRPr="005F0CF3">
        <w:rPr>
          <w:rFonts w:ascii="Times New Roman" w:hAnsi="Times New Roman"/>
          <w:sz w:val="20"/>
          <w:szCs w:val="20"/>
        </w:rPr>
        <w:t>L’Amministratore Unico</w:t>
      </w:r>
      <w:r w:rsidR="00603F3F" w:rsidRPr="005F0CF3">
        <w:rPr>
          <w:rFonts w:ascii="Times New Roman" w:hAnsi="Times New Roman"/>
          <w:iCs/>
          <w:sz w:val="20"/>
          <w:szCs w:val="20"/>
        </w:rPr>
        <w:t>, nella sed</w:t>
      </w:r>
      <w:r w:rsidR="00603F3F" w:rsidRPr="00DB7724">
        <w:rPr>
          <w:rFonts w:ascii="Times New Roman" w:hAnsi="Times New Roman"/>
          <w:iCs/>
          <w:sz w:val="20"/>
          <w:szCs w:val="20"/>
        </w:rPr>
        <w:t xml:space="preserve">uta </w:t>
      </w:r>
      <w:r w:rsidR="005F0CF3">
        <w:rPr>
          <w:rFonts w:ascii="Times New Roman" w:hAnsi="Times New Roman"/>
          <w:iCs/>
          <w:sz w:val="20"/>
          <w:szCs w:val="20"/>
        </w:rPr>
        <w:t>dell’1 ottobre 2018</w:t>
      </w:r>
      <w:r w:rsidR="00603F3F" w:rsidRPr="00CD7FBE">
        <w:rPr>
          <w:rFonts w:ascii="Times New Roman" w:hAnsi="Times New Roman"/>
          <w:iCs/>
          <w:sz w:val="20"/>
          <w:szCs w:val="20"/>
        </w:rPr>
        <w:t>, ha approvato i seguenti</w:t>
      </w:r>
      <w:r w:rsidR="00603F3F" w:rsidRPr="00CD7FBE">
        <w:rPr>
          <w:rFonts w:ascii="Times New Roman" w:hAnsi="Times New Roman"/>
          <w:b/>
          <w:bCs/>
          <w:sz w:val="20"/>
          <w:szCs w:val="20"/>
        </w:rPr>
        <w:t xml:space="preserve"> </w:t>
      </w:r>
      <w:r w:rsidR="00603F3F" w:rsidRPr="00CD7FBE">
        <w:rPr>
          <w:rFonts w:ascii="Times New Roman" w:hAnsi="Times New Roman"/>
          <w:bCs/>
          <w:sz w:val="20"/>
          <w:szCs w:val="20"/>
        </w:rPr>
        <w:t>“</w:t>
      </w:r>
      <w:r w:rsidR="00603F3F" w:rsidRPr="00CD7FBE">
        <w:rPr>
          <w:rFonts w:ascii="Times New Roman" w:hAnsi="Times New Roman"/>
          <w:bCs/>
          <w:i/>
          <w:sz w:val="20"/>
          <w:szCs w:val="20"/>
        </w:rPr>
        <w:t>obiettivi strategici in materia di prevenzione della corruzione e trasparenza</w:t>
      </w:r>
      <w:r w:rsidR="00603F3F" w:rsidRPr="00CD7FBE">
        <w:rPr>
          <w:rFonts w:ascii="Times New Roman" w:hAnsi="Times New Roman"/>
          <w:bCs/>
          <w:sz w:val="20"/>
          <w:szCs w:val="20"/>
        </w:rPr>
        <w:t>”</w:t>
      </w:r>
      <w:r w:rsidR="00603F3F" w:rsidRPr="00CD7FBE">
        <w:rPr>
          <w:rFonts w:ascii="Times New Roman" w:hAnsi="Times New Roman"/>
          <w:iCs/>
          <w:sz w:val="20"/>
          <w:szCs w:val="20"/>
        </w:rPr>
        <w:t xml:space="preserve">, che costituiscono contenuto necessario del </w:t>
      </w:r>
      <w:r w:rsidR="00603F3F" w:rsidRPr="00CD7FBE">
        <w:rPr>
          <w:rFonts w:ascii="Times New Roman" w:hAnsi="Times New Roman"/>
          <w:sz w:val="20"/>
          <w:szCs w:val="20"/>
        </w:rPr>
        <w:t>PTPCT</w:t>
      </w:r>
      <w:r w:rsidR="00603F3F" w:rsidRPr="00CD7FBE">
        <w:rPr>
          <w:rFonts w:ascii="Times New Roman" w:hAnsi="Times New Roman"/>
          <w:iCs/>
          <w:sz w:val="20"/>
          <w:szCs w:val="20"/>
        </w:rPr>
        <w:t xml:space="preserve"> </w:t>
      </w:r>
      <w:r w:rsidR="00603F3F">
        <w:rPr>
          <w:rFonts w:ascii="Times New Roman" w:hAnsi="Times New Roman"/>
          <w:iCs/>
          <w:sz w:val="20"/>
          <w:szCs w:val="20"/>
        </w:rPr>
        <w:t xml:space="preserve">nonché </w:t>
      </w:r>
      <w:r w:rsidR="00603F3F" w:rsidRPr="00CD7FBE">
        <w:rPr>
          <w:rFonts w:ascii="Times New Roman" w:hAnsi="Times New Roman"/>
          <w:iCs/>
          <w:sz w:val="20"/>
          <w:szCs w:val="20"/>
        </w:rPr>
        <w:t>dei documenti di programmazione strategico-gestionale:</w:t>
      </w:r>
    </w:p>
    <w:p w14:paraId="3A59EBB0" w14:textId="147FB9F9"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 xml:space="preserve">Implementazione di interventi tesi alla minimizzazione delle opportunità che possano verificarsi casi di corruzione e di illegalità all’interno della </w:t>
      </w:r>
      <w:r>
        <w:rPr>
          <w:rFonts w:ascii="Times New Roman" w:hAnsi="Times New Roman"/>
          <w:i/>
          <w:iCs/>
          <w:sz w:val="20"/>
          <w:szCs w:val="20"/>
        </w:rPr>
        <w:t>società</w:t>
      </w:r>
      <w:r w:rsidRPr="00AE5053">
        <w:rPr>
          <w:rFonts w:ascii="Times New Roman" w:hAnsi="Times New Roman"/>
          <w:i/>
          <w:iCs/>
          <w:sz w:val="20"/>
          <w:szCs w:val="20"/>
        </w:rPr>
        <w:t xml:space="preserve"> mediante la promozione dell’utilizzo degli strumenti e delle misure di prevenzione previste dalla normativa vigente (legge n. 190/2012, D.lgs. n. 33/2013 e D.lgs. n.39/2013) e dal Piano Nazionale Anticorruzione (l’obiettivo in esame deve trovare un ulteriore sviluppo all’interno del prossimo PTPCT 2019-2021; la prevenzione della corruzione e dell’illegalità costituisce un obiettivo strategico della </w:t>
      </w:r>
      <w:r>
        <w:rPr>
          <w:rFonts w:ascii="Times New Roman" w:hAnsi="Times New Roman"/>
          <w:i/>
          <w:iCs/>
          <w:sz w:val="20"/>
          <w:szCs w:val="20"/>
        </w:rPr>
        <w:t>società</w:t>
      </w:r>
      <w:r w:rsidRPr="00AE5053">
        <w:rPr>
          <w:rFonts w:ascii="Times New Roman" w:hAnsi="Times New Roman"/>
          <w:i/>
          <w:iCs/>
          <w:sz w:val="20"/>
          <w:szCs w:val="20"/>
        </w:rPr>
        <w:t xml:space="preserve"> che investe l’intera struttura organizzativa e tutti i suoi processi decisionali, attraverso l’elaborazione e l’attuazione di effettive e concrete misure di prevenzione da indicare nel prossimo PTPC 2019-2021);</w:t>
      </w:r>
    </w:p>
    <w:p w14:paraId="26B3A391" w14:textId="77777777"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Adeguamento dell’analisi di contesto (esterno, interno), dell’analisi del rischio (identificazione, analisi e ponderazione del rischio) e conseguente indicazione delle misure di prevenzione e di trattamento del rischio da adottare (individuazione e progettazione degli interventi);</w:t>
      </w:r>
    </w:p>
    <w:p w14:paraId="5496C957" w14:textId="77777777"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Recepimento degli obiettivi strategici di prevenzione della corruzione e per la trasparenza nell’ambito del piano delle performance aziendali;</w:t>
      </w:r>
    </w:p>
    <w:p w14:paraId="37B6FC60" w14:textId="77777777"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Miglioramento del processo di semplificazione e digitalizzazione delle attività aziendali per incrementare l’efficacia e l’efficienza dell’attuale sistema di prevenzione della corruzione;</w:t>
      </w:r>
    </w:p>
    <w:p w14:paraId="01FCCCB0" w14:textId="77777777"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Rafforzamento del sistema integrato di pianificazione, programmazione e controllo per un’unitaria attività di pianificazione, gestione e controllo di tutti gli accadimenti aziendali;</w:t>
      </w:r>
    </w:p>
    <w:p w14:paraId="5A453F4C" w14:textId="2A981BAA"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 xml:space="preserve">Adozione di forme di monitoraggio periodico delle misure di prevenzione previste dal PTPCT e della loro effettiva efficacia al fine di individuare casi di corruzione o di illegalità all’interno della </w:t>
      </w:r>
      <w:r>
        <w:rPr>
          <w:rFonts w:ascii="Times New Roman" w:hAnsi="Times New Roman"/>
          <w:i/>
          <w:iCs/>
          <w:sz w:val="20"/>
          <w:szCs w:val="20"/>
        </w:rPr>
        <w:t>società</w:t>
      </w:r>
      <w:r w:rsidRPr="00AE5053">
        <w:rPr>
          <w:rFonts w:ascii="Times New Roman" w:hAnsi="Times New Roman"/>
          <w:i/>
          <w:iCs/>
          <w:sz w:val="20"/>
          <w:szCs w:val="20"/>
        </w:rPr>
        <w:t>;</w:t>
      </w:r>
    </w:p>
    <w:p w14:paraId="2D9A2BC4" w14:textId="77777777"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 xml:space="preserve">Miglioramento dei livelli di trasparenza e di integrità tramite una maggiore responsabilizzazione degli uffici e dei relativi responsabili (nell’ambito di tale obiettivo, sarà da valutare la previsione di azioni volte al miglioramento della qualità dei dati pubblicati nel senso che, oltre alla necessità di pubblicare i dati in formato di tipo aperto, deve essere garantito, anche, il costante aggiornamento, la tempestività, la completezza, la </w:t>
      </w:r>
      <w:r w:rsidRPr="00AE5053">
        <w:rPr>
          <w:rFonts w:ascii="Times New Roman" w:hAnsi="Times New Roman"/>
          <w:i/>
          <w:iCs/>
          <w:sz w:val="20"/>
          <w:szCs w:val="20"/>
        </w:rPr>
        <w:lastRenderedPageBreak/>
        <w:t>semplicità di consultazione e la comprensibilità dei dati e delle informazioni pubblicate. Particolare attenzione, poi, deve essere data all’istituto dell’accesso civico, valutando, in base all’impatto che esso avrà sugli uffici, la promozione di adeguati interventi organizzativi);</w:t>
      </w:r>
    </w:p>
    <w:p w14:paraId="0E8DD0ED" w14:textId="0B47ABC0" w:rsidR="00603F3F" w:rsidRPr="00AE5053" w:rsidRDefault="00603F3F" w:rsidP="003E3269">
      <w:pPr>
        <w:pStyle w:val="Paragrafoelenco"/>
        <w:widowControl w:val="0"/>
        <w:numPr>
          <w:ilvl w:val="0"/>
          <w:numId w:val="38"/>
        </w:numPr>
        <w:autoSpaceDE w:val="0"/>
        <w:autoSpaceDN w:val="0"/>
        <w:adjustRightInd w:val="0"/>
        <w:spacing w:after="0" w:line="276" w:lineRule="auto"/>
        <w:ind w:left="284" w:hanging="284"/>
        <w:jc w:val="both"/>
        <w:rPr>
          <w:rFonts w:ascii="Times New Roman" w:hAnsi="Times New Roman"/>
          <w:i/>
          <w:iCs/>
          <w:sz w:val="20"/>
          <w:szCs w:val="20"/>
        </w:rPr>
      </w:pPr>
      <w:r w:rsidRPr="00AE5053">
        <w:rPr>
          <w:rFonts w:ascii="Times New Roman" w:hAnsi="Times New Roman"/>
          <w:i/>
          <w:iCs/>
          <w:sz w:val="20"/>
          <w:szCs w:val="20"/>
        </w:rPr>
        <w:t>Realizzazione di eventuali interventi di miglioramento dei sistemi di certific</w:t>
      </w:r>
      <w:r w:rsidR="00497142">
        <w:rPr>
          <w:rFonts w:ascii="Times New Roman" w:hAnsi="Times New Roman"/>
          <w:i/>
          <w:iCs/>
          <w:sz w:val="20"/>
          <w:szCs w:val="20"/>
        </w:rPr>
        <w:t xml:space="preserve">azione presenti in azienda (BS OHSAS 18001 e </w:t>
      </w:r>
      <w:r w:rsidRPr="00AE5053">
        <w:rPr>
          <w:rFonts w:ascii="Times New Roman" w:hAnsi="Times New Roman"/>
          <w:i/>
          <w:iCs/>
          <w:sz w:val="20"/>
          <w:szCs w:val="20"/>
        </w:rPr>
        <w:t>definizione delle attività finalizzate alle certificazioni 27001 e 37001</w:t>
      </w:r>
      <w:r w:rsidR="00F56B16">
        <w:rPr>
          <w:rFonts w:ascii="Times New Roman" w:hAnsi="Times New Roman"/>
          <w:i/>
          <w:iCs/>
          <w:sz w:val="20"/>
          <w:szCs w:val="20"/>
        </w:rPr>
        <w:t>)</w:t>
      </w:r>
      <w:r w:rsidRPr="00AE5053">
        <w:rPr>
          <w:rFonts w:ascii="Times New Roman" w:hAnsi="Times New Roman"/>
          <w:i/>
          <w:iCs/>
          <w:sz w:val="20"/>
          <w:szCs w:val="20"/>
        </w:rPr>
        <w:t>.</w:t>
      </w:r>
    </w:p>
    <w:p w14:paraId="0A0749A5" w14:textId="77777777" w:rsidR="00603F3F" w:rsidRPr="00CD7FBE" w:rsidRDefault="00603F3F" w:rsidP="00603F3F">
      <w:pPr>
        <w:widowControl w:val="0"/>
        <w:autoSpaceDE w:val="0"/>
        <w:autoSpaceDN w:val="0"/>
        <w:adjustRightInd w:val="0"/>
        <w:spacing w:after="0"/>
        <w:jc w:val="both"/>
        <w:rPr>
          <w:rFonts w:ascii="Times New Roman" w:hAnsi="Times New Roman"/>
          <w:iCs/>
          <w:sz w:val="20"/>
          <w:szCs w:val="20"/>
        </w:rPr>
      </w:pPr>
    </w:p>
    <w:p w14:paraId="4AA41631" w14:textId="534D5BAB"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Il PTPCT è parte integrante del Modello di Organizzazione, Gestione e Controllo, di cui all’art. 6, comma 1, lettera A) del </w:t>
      </w:r>
      <w:r>
        <w:rPr>
          <w:rFonts w:ascii="Times New Roman" w:hAnsi="Times New Roman"/>
          <w:sz w:val="20"/>
          <w:szCs w:val="20"/>
        </w:rPr>
        <w:t>D. Lgs</w:t>
      </w:r>
      <w:r w:rsidRPr="00CD7FBE">
        <w:rPr>
          <w:rFonts w:ascii="Times New Roman" w:hAnsi="Times New Roman"/>
          <w:sz w:val="20"/>
          <w:szCs w:val="20"/>
        </w:rPr>
        <w:t>. n. 231/2001 (di seguito anche MOG) ed è integrato con il Piano della Performance nonché con gli altri documenti di programmazione strategico-gestionale aziendali.</w:t>
      </w:r>
      <w:r>
        <w:rPr>
          <w:rFonts w:ascii="Times New Roman" w:hAnsi="Times New Roman"/>
          <w:sz w:val="20"/>
          <w:szCs w:val="20"/>
        </w:rPr>
        <w:t xml:space="preserve"> Esso è stato </w:t>
      </w:r>
      <w:r w:rsidRPr="00CD7FBE">
        <w:rPr>
          <w:rFonts w:ascii="Times New Roman" w:hAnsi="Times New Roman"/>
          <w:sz w:val="20"/>
          <w:szCs w:val="20"/>
        </w:rPr>
        <w:t xml:space="preserve">elaborato in attuazione della Legge 190 del 2012 e decreti collegati </w:t>
      </w:r>
      <w:r>
        <w:rPr>
          <w:rFonts w:ascii="Times New Roman" w:hAnsi="Times New Roman"/>
          <w:sz w:val="20"/>
          <w:szCs w:val="20"/>
        </w:rPr>
        <w:t>e</w:t>
      </w:r>
      <w:r w:rsidRPr="00CD7FBE">
        <w:rPr>
          <w:rFonts w:ascii="Times New Roman" w:hAnsi="Times New Roman"/>
          <w:sz w:val="20"/>
          <w:szCs w:val="20"/>
        </w:rPr>
        <w:t xml:space="preserve"> redatto sulla base dei </w:t>
      </w:r>
      <w:r w:rsidRPr="00B44E30">
        <w:rPr>
          <w:rFonts w:ascii="Times New Roman" w:hAnsi="Times New Roman"/>
          <w:sz w:val="20"/>
          <w:szCs w:val="20"/>
        </w:rPr>
        <w:t>sopra riportati indirizzi strategici e di quelli espressi.</w:t>
      </w:r>
      <w:r w:rsidRPr="00CD7FBE">
        <w:rPr>
          <w:rFonts w:ascii="Times New Roman" w:hAnsi="Times New Roman"/>
          <w:sz w:val="20"/>
          <w:szCs w:val="20"/>
        </w:rPr>
        <w:t xml:space="preserve"> Nella Sezione II</w:t>
      </w:r>
      <w:r>
        <w:rPr>
          <w:rFonts w:ascii="Times New Roman" w:hAnsi="Times New Roman"/>
          <w:sz w:val="20"/>
          <w:szCs w:val="20"/>
        </w:rPr>
        <w:t>I</w:t>
      </w:r>
      <w:r w:rsidRPr="00CD7FBE">
        <w:rPr>
          <w:rFonts w:ascii="Times New Roman" w:hAnsi="Times New Roman"/>
          <w:sz w:val="20"/>
          <w:szCs w:val="20"/>
        </w:rPr>
        <w:t xml:space="preserve"> sono riportate le disposizioni in materia di trasparenza dove, tra l’altro, sono individuati </w:t>
      </w:r>
      <w:r w:rsidRPr="00CD7FBE">
        <w:rPr>
          <w:rFonts w:ascii="Times New Roman" w:hAnsi="Times New Roman"/>
          <w:iCs/>
          <w:sz w:val="20"/>
          <w:szCs w:val="20"/>
        </w:rPr>
        <w:t>i “</w:t>
      </w:r>
      <w:r w:rsidRPr="00CD7FBE">
        <w:rPr>
          <w:rFonts w:ascii="Times New Roman" w:hAnsi="Times New Roman"/>
          <w:i/>
          <w:iCs/>
          <w:sz w:val="20"/>
          <w:szCs w:val="20"/>
        </w:rPr>
        <w:t>Responsabili della trasmissione, della pubblicazione e dell’aggiornamento dei documenti, delle informazioni e dei dati</w:t>
      </w:r>
      <w:r w:rsidRPr="00CD7FBE">
        <w:rPr>
          <w:rFonts w:ascii="Times New Roman" w:hAnsi="Times New Roman"/>
          <w:iCs/>
          <w:sz w:val="20"/>
          <w:szCs w:val="20"/>
        </w:rPr>
        <w:t>”, di cui a</w:t>
      </w:r>
      <w:r w:rsidRPr="00CD7FBE">
        <w:rPr>
          <w:rFonts w:ascii="Times New Roman" w:hAnsi="Times New Roman"/>
          <w:sz w:val="20"/>
          <w:szCs w:val="20"/>
        </w:rPr>
        <w:t>l comma 1 dell’articolo 10 del D.</w:t>
      </w:r>
      <w:r>
        <w:rPr>
          <w:rFonts w:ascii="Times New Roman" w:hAnsi="Times New Roman"/>
          <w:sz w:val="20"/>
          <w:szCs w:val="20"/>
        </w:rPr>
        <w:t xml:space="preserve"> </w:t>
      </w:r>
      <w:r w:rsidRPr="00CD7FBE">
        <w:rPr>
          <w:rFonts w:ascii="Times New Roman" w:hAnsi="Times New Roman"/>
          <w:sz w:val="20"/>
          <w:szCs w:val="20"/>
        </w:rPr>
        <w:t xml:space="preserve">Lgs. 33/2013, </w:t>
      </w:r>
      <w:r w:rsidRPr="00CD7FBE">
        <w:rPr>
          <w:rFonts w:ascii="Times New Roman" w:hAnsi="Times New Roman"/>
          <w:iCs/>
          <w:sz w:val="20"/>
          <w:szCs w:val="20"/>
        </w:rPr>
        <w:t>ed i relativi compiti e responsabilità.</w:t>
      </w:r>
      <w:r>
        <w:rPr>
          <w:rFonts w:ascii="Times New Roman" w:hAnsi="Times New Roman"/>
          <w:iCs/>
          <w:sz w:val="20"/>
          <w:szCs w:val="20"/>
        </w:rPr>
        <w:t xml:space="preserve"> Attraverso la</w:t>
      </w:r>
      <w:r w:rsidRPr="00CD7FBE">
        <w:rPr>
          <w:rFonts w:ascii="Times New Roman" w:hAnsi="Times New Roman"/>
          <w:spacing w:val="-2"/>
          <w:sz w:val="20"/>
          <w:szCs w:val="20"/>
        </w:rPr>
        <w:t xml:space="preserve"> </w:t>
      </w:r>
      <w:r>
        <w:rPr>
          <w:rFonts w:ascii="Times New Roman" w:hAnsi="Times New Roman"/>
          <w:spacing w:val="-2"/>
          <w:sz w:val="20"/>
          <w:szCs w:val="20"/>
        </w:rPr>
        <w:t xml:space="preserve">medesima </w:t>
      </w:r>
      <w:r w:rsidRPr="00CD7FBE">
        <w:rPr>
          <w:rFonts w:ascii="Times New Roman" w:hAnsi="Times New Roman"/>
          <w:spacing w:val="-2"/>
          <w:sz w:val="20"/>
          <w:szCs w:val="20"/>
        </w:rPr>
        <w:t xml:space="preserve">Sezione </w:t>
      </w:r>
      <w:r>
        <w:rPr>
          <w:rFonts w:ascii="Times New Roman" w:hAnsi="Times New Roman"/>
          <w:spacing w:val="-2"/>
          <w:sz w:val="20"/>
          <w:szCs w:val="20"/>
        </w:rPr>
        <w:t xml:space="preserve">si </w:t>
      </w:r>
      <w:r w:rsidRPr="00CD7FBE">
        <w:rPr>
          <w:rFonts w:ascii="Times New Roman" w:hAnsi="Times New Roman"/>
          <w:sz w:val="20"/>
          <w:szCs w:val="20"/>
        </w:rPr>
        <w:t xml:space="preserve">intende rendere noto, a chiunque ne abbia interesse, quali sono e come </w:t>
      </w:r>
      <w:r>
        <w:rPr>
          <w:rFonts w:ascii="Times New Roman" w:hAnsi="Times New Roman"/>
          <w:sz w:val="20"/>
          <w:szCs w:val="20"/>
        </w:rPr>
        <w:t xml:space="preserve">si </w:t>
      </w:r>
      <w:r w:rsidRPr="00CD7FBE">
        <w:rPr>
          <w:rFonts w:ascii="Times New Roman" w:hAnsi="Times New Roman"/>
          <w:sz w:val="20"/>
          <w:szCs w:val="20"/>
        </w:rPr>
        <w:t xml:space="preserve">intende realizzare, stanti i vincoli organizzativi e finanziari, </w:t>
      </w:r>
      <w:r>
        <w:rPr>
          <w:rFonts w:ascii="Times New Roman" w:hAnsi="Times New Roman"/>
          <w:sz w:val="20"/>
          <w:szCs w:val="20"/>
        </w:rPr>
        <w:t>gli</w:t>
      </w:r>
      <w:r w:rsidRPr="00CD7FBE">
        <w:rPr>
          <w:rFonts w:ascii="Times New Roman" w:hAnsi="Times New Roman"/>
          <w:sz w:val="20"/>
          <w:szCs w:val="20"/>
        </w:rPr>
        <w:t xml:space="preserve"> obiettivi di trasparenza nel corso del periodo 201</w:t>
      </w:r>
      <w:r>
        <w:rPr>
          <w:rFonts w:ascii="Times New Roman" w:hAnsi="Times New Roman"/>
          <w:sz w:val="20"/>
          <w:szCs w:val="20"/>
        </w:rPr>
        <w:t>9</w:t>
      </w:r>
      <w:r w:rsidRPr="00CD7FBE">
        <w:rPr>
          <w:rFonts w:ascii="Times New Roman" w:hAnsi="Times New Roman"/>
          <w:sz w:val="20"/>
          <w:szCs w:val="20"/>
        </w:rPr>
        <w:t>-20</w:t>
      </w:r>
      <w:r>
        <w:rPr>
          <w:rFonts w:ascii="Times New Roman" w:hAnsi="Times New Roman"/>
          <w:sz w:val="20"/>
          <w:szCs w:val="20"/>
        </w:rPr>
        <w:t>21</w:t>
      </w:r>
      <w:r w:rsidRPr="00CD7FBE">
        <w:rPr>
          <w:rFonts w:ascii="Times New Roman" w:hAnsi="Times New Roman"/>
          <w:sz w:val="20"/>
          <w:szCs w:val="20"/>
        </w:rPr>
        <w:t xml:space="preserve">, anche in funzione di prevenzione della corruzione, in coerenza con il principio di accessibilità totale come disciplinato dalla legge 190/2012 e dal </w:t>
      </w:r>
      <w:r>
        <w:rPr>
          <w:rFonts w:ascii="Times New Roman" w:hAnsi="Times New Roman"/>
          <w:sz w:val="20"/>
          <w:szCs w:val="20"/>
        </w:rPr>
        <w:t>D. Lgs</w:t>
      </w:r>
      <w:r w:rsidRPr="00CD7FBE">
        <w:rPr>
          <w:rFonts w:ascii="Times New Roman" w:hAnsi="Times New Roman"/>
          <w:sz w:val="20"/>
          <w:szCs w:val="20"/>
        </w:rPr>
        <w:t>. 33/2013 e ss.mm e ii.</w:t>
      </w:r>
      <w:r>
        <w:rPr>
          <w:rFonts w:ascii="Times New Roman" w:hAnsi="Times New Roman"/>
          <w:sz w:val="20"/>
          <w:szCs w:val="20"/>
        </w:rPr>
        <w:t xml:space="preserve"> </w:t>
      </w:r>
    </w:p>
    <w:p w14:paraId="4DFC6114" w14:textId="77777777" w:rsidR="00603F3F" w:rsidRPr="00CD7FBE" w:rsidRDefault="00603F3F" w:rsidP="00603F3F">
      <w:pPr>
        <w:widowControl w:val="0"/>
        <w:spacing w:after="0"/>
        <w:jc w:val="both"/>
        <w:rPr>
          <w:rFonts w:ascii="Times New Roman" w:hAnsi="Times New Roman"/>
          <w:sz w:val="20"/>
          <w:szCs w:val="20"/>
        </w:rPr>
      </w:pPr>
    </w:p>
    <w:p w14:paraId="243FC5DB" w14:textId="227A7599"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Il PTPCT rappresenta lo strumento attraverso il quale </w:t>
      </w:r>
      <w:r>
        <w:rPr>
          <w:rFonts w:ascii="Times New Roman" w:hAnsi="Times New Roman"/>
          <w:sz w:val="20"/>
          <w:szCs w:val="20"/>
        </w:rPr>
        <w:t>sono</w:t>
      </w:r>
      <w:r w:rsidRPr="00CD7FBE">
        <w:rPr>
          <w:rFonts w:ascii="Times New Roman" w:hAnsi="Times New Roman"/>
          <w:sz w:val="20"/>
          <w:szCs w:val="20"/>
        </w:rPr>
        <w:t xml:space="preserve"> individua</w:t>
      </w:r>
      <w:r>
        <w:rPr>
          <w:rFonts w:ascii="Times New Roman" w:hAnsi="Times New Roman"/>
          <w:sz w:val="20"/>
          <w:szCs w:val="20"/>
        </w:rPr>
        <w:t>te</w:t>
      </w:r>
      <w:r w:rsidRPr="00CD7FBE">
        <w:rPr>
          <w:rFonts w:ascii="Times New Roman" w:hAnsi="Times New Roman"/>
          <w:sz w:val="20"/>
          <w:szCs w:val="20"/>
        </w:rPr>
        <w:t xml:space="preserve"> le strategie prioritarie per la prevenzione ed il contrasto della corruzione; esso non si configura come un’attività compiuta, bensì come un insieme di strumenti finalizzati alla prevenzione che vengono via via affinati, modificati o sostituiti in relazione al </w:t>
      </w:r>
      <w:r w:rsidRPr="00CD7FBE">
        <w:rPr>
          <w:rFonts w:ascii="Times New Roman" w:hAnsi="Times New Roman"/>
          <w:i/>
          <w:sz w:val="20"/>
          <w:szCs w:val="20"/>
        </w:rPr>
        <w:t>feedback</w:t>
      </w:r>
      <w:r w:rsidRPr="00CD7FBE">
        <w:rPr>
          <w:rFonts w:ascii="Times New Roman" w:hAnsi="Times New Roman"/>
          <w:sz w:val="20"/>
          <w:szCs w:val="20"/>
        </w:rPr>
        <w:t xml:space="preserve"> ot</w:t>
      </w:r>
      <w:r>
        <w:rPr>
          <w:rFonts w:ascii="Times New Roman" w:hAnsi="Times New Roman"/>
          <w:sz w:val="20"/>
          <w:szCs w:val="20"/>
        </w:rPr>
        <w:t xml:space="preserve">tenuto dalla loro applicazione. </w:t>
      </w:r>
      <w:r w:rsidRPr="00CD7FBE">
        <w:rPr>
          <w:rFonts w:ascii="Times New Roman" w:hAnsi="Times New Roman"/>
          <w:sz w:val="20"/>
          <w:szCs w:val="20"/>
        </w:rPr>
        <w:t>Il concetto di corruzione che viene preso a riferimento nel presente d</w:t>
      </w:r>
      <w:r>
        <w:rPr>
          <w:rFonts w:ascii="Times New Roman" w:hAnsi="Times New Roman"/>
          <w:sz w:val="20"/>
          <w:szCs w:val="20"/>
        </w:rPr>
        <w:t xml:space="preserve">ocumento ha un’accezione ampia. </w:t>
      </w:r>
      <w:r w:rsidRPr="00CD7FBE">
        <w:rPr>
          <w:rFonts w:ascii="Times New Roman" w:hAnsi="Times New Roman"/>
          <w:sz w:val="20"/>
          <w:szCs w:val="20"/>
        </w:rPr>
        <w:t>Esso è comprensivo delle varie situazioni in cui, nel corso dell’attività amministrativa, si riscontri l’abuso da parte di un soggetto del potere a lui affidato al fin</w:t>
      </w:r>
      <w:r>
        <w:rPr>
          <w:rFonts w:ascii="Times New Roman" w:hAnsi="Times New Roman"/>
          <w:sz w:val="20"/>
          <w:szCs w:val="20"/>
        </w:rPr>
        <w:t xml:space="preserve">e di ottenere vantaggi privati. </w:t>
      </w:r>
      <w:r w:rsidRPr="00CD7FBE">
        <w:rPr>
          <w:rFonts w:ascii="Times New Roman" w:hAnsi="Times New Roman"/>
          <w:sz w:val="20"/>
          <w:szCs w:val="20"/>
        </w:rPr>
        <w:t>La corruzione è, quindi, una fattispecie che viola i principi etici del servizio pubblico e che va oltre l’accezione strettamente legata alla fattispecie penalistica disciplinata dagli artt. 318 e seguenti del codice penale, poiché è tale da ricomprendere non solo l’intera gamma dei delitti contro la Pubblica Amministrazione disciplinati dal Titolo II, Capo I, del codice penale, ma anche le situazioni in cui, a prescindere dalla rilevanza penale, venga in evidenza un malfunzionamento dell’Amministrazione a causa dell’uso a fini privati delle funzioni attribuite.</w:t>
      </w:r>
      <w:r>
        <w:rPr>
          <w:rFonts w:ascii="Times New Roman" w:hAnsi="Times New Roman"/>
          <w:sz w:val="20"/>
          <w:szCs w:val="20"/>
        </w:rPr>
        <w:t xml:space="preserve"> </w:t>
      </w:r>
      <w:r w:rsidRPr="00CD7FBE">
        <w:rPr>
          <w:rFonts w:ascii="Times New Roman" w:hAnsi="Times New Roman"/>
          <w:sz w:val="20"/>
          <w:szCs w:val="20"/>
        </w:rPr>
        <w:t>A tal fine si richiama quanto espresso dalla Presidenza del Consiglio dei Ministri che con circolare n. 1 del 25 gennaio 2013 laddove si precisa che, nel contesto della riforma, “</w:t>
      </w:r>
      <w:r w:rsidRPr="00CD7FBE">
        <w:rPr>
          <w:rFonts w:ascii="Times New Roman" w:hAnsi="Times New Roman"/>
          <w:i/>
          <w:sz w:val="20"/>
          <w:szCs w:val="20"/>
        </w:rPr>
        <w:t>il concetto di corruzione deve essere inteso in senso lato come comprensivo delle varie situazioni in cui, nel corso dell’attività amministrativa, si riscontri l’abuso da parte di un soggetto del potere a lui affidato al fine di ottenere vantaggi privati. Le situazioni rilevanti sono quindi evidentemente più ampie della fattispecie penalistica (artt. 318</w:t>
      </w:r>
      <w:r w:rsidRPr="00CD7FBE">
        <w:rPr>
          <w:rStyle w:val="Rimandonotadichiusura"/>
          <w:rFonts w:ascii="Times New Roman" w:hAnsi="Times New Roman"/>
          <w:i/>
          <w:sz w:val="20"/>
          <w:szCs w:val="20"/>
        </w:rPr>
        <w:endnoteReference w:id="2"/>
      </w:r>
      <w:r w:rsidRPr="00CD7FBE">
        <w:rPr>
          <w:rFonts w:ascii="Times New Roman" w:hAnsi="Times New Roman"/>
          <w:i/>
          <w:sz w:val="20"/>
          <w:szCs w:val="20"/>
        </w:rPr>
        <w:t>, 319</w:t>
      </w:r>
      <w:r w:rsidRPr="00CD7FBE">
        <w:rPr>
          <w:rStyle w:val="Rimandonotadichiusura"/>
          <w:rFonts w:ascii="Times New Roman" w:hAnsi="Times New Roman"/>
          <w:i/>
          <w:sz w:val="20"/>
          <w:szCs w:val="20"/>
        </w:rPr>
        <w:endnoteReference w:id="3"/>
      </w:r>
      <w:r w:rsidRPr="00CD7FBE">
        <w:rPr>
          <w:rFonts w:ascii="Times New Roman" w:hAnsi="Times New Roman"/>
          <w:i/>
          <w:sz w:val="20"/>
          <w:szCs w:val="20"/>
        </w:rPr>
        <w:t xml:space="preserve"> e 319-ter</w:t>
      </w:r>
      <w:r w:rsidRPr="00CD7FBE">
        <w:rPr>
          <w:rStyle w:val="Rimandonotadichiusura"/>
          <w:rFonts w:ascii="Times New Roman" w:hAnsi="Times New Roman"/>
          <w:i/>
          <w:sz w:val="20"/>
          <w:szCs w:val="20"/>
        </w:rPr>
        <w:endnoteReference w:id="4"/>
      </w:r>
      <w:r w:rsidRPr="00CD7FBE">
        <w:rPr>
          <w:rFonts w:ascii="Times New Roman" w:hAnsi="Times New Roman"/>
          <w:i/>
          <w:sz w:val="20"/>
          <w:szCs w:val="20"/>
        </w:rPr>
        <w:t xml:space="preserve"> codice penale) e sono tali da comprendere non solo l’intera gamma dei delitti contro la Pubblica Amministrazione, ma anche le situazioni in cui – a prescindere dalla rilevanza penale – venga in evidenza un malfunzionamento dell’Amministrazione a causa dell’uso ai fini privati delle funzioni attribuite</w:t>
      </w:r>
      <w:r>
        <w:rPr>
          <w:rFonts w:ascii="Times New Roman" w:hAnsi="Times New Roman"/>
          <w:sz w:val="20"/>
          <w:szCs w:val="20"/>
        </w:rPr>
        <w:t xml:space="preserve">”. </w:t>
      </w:r>
      <w:r w:rsidRPr="00CD7FBE">
        <w:rPr>
          <w:rFonts w:ascii="Times New Roman" w:hAnsi="Times New Roman"/>
          <w:sz w:val="20"/>
          <w:szCs w:val="20"/>
        </w:rPr>
        <w:t xml:space="preserve">L’aggiornamento 2015 al Piano Nazionale Anticorruzione, </w:t>
      </w:r>
      <w:r>
        <w:rPr>
          <w:rFonts w:ascii="Times New Roman" w:hAnsi="Times New Roman"/>
          <w:sz w:val="20"/>
          <w:szCs w:val="20"/>
        </w:rPr>
        <w:t xml:space="preserve">ha </w:t>
      </w:r>
      <w:r w:rsidRPr="00CD7FBE">
        <w:rPr>
          <w:rFonts w:ascii="Times New Roman" w:hAnsi="Times New Roman"/>
          <w:sz w:val="20"/>
          <w:szCs w:val="20"/>
        </w:rPr>
        <w:t>specifica</w:t>
      </w:r>
      <w:r>
        <w:rPr>
          <w:rFonts w:ascii="Times New Roman" w:hAnsi="Times New Roman"/>
          <w:sz w:val="20"/>
          <w:szCs w:val="20"/>
        </w:rPr>
        <w:t>to</w:t>
      </w:r>
      <w:r w:rsidRPr="00CD7FBE">
        <w:rPr>
          <w:rFonts w:ascii="Times New Roman" w:hAnsi="Times New Roman"/>
          <w:sz w:val="20"/>
          <w:szCs w:val="20"/>
        </w:rPr>
        <w:t xml:space="preserve"> ulteriormente il punto, asserendo che il concetto di corruzione coincide con la “maladministration</w:t>
      </w:r>
      <w:r>
        <w:rPr>
          <w:rFonts w:ascii="Times New Roman" w:hAnsi="Times New Roman"/>
          <w:sz w:val="20"/>
          <w:szCs w:val="20"/>
        </w:rPr>
        <w:t>”</w:t>
      </w:r>
      <w:r w:rsidRPr="00CD7FBE">
        <w:rPr>
          <w:rFonts w:ascii="Times New Roman" w:hAnsi="Times New Roman"/>
          <w:i/>
          <w:sz w:val="20"/>
          <w:szCs w:val="20"/>
        </w:rPr>
        <w:t xml:space="preserve"> intesa come assunzione di decisioni (di assetto, di interessi a conclusione di procedimenti, di determinazioni di fasi interne a singoli procedimenti, di gestione di risorse pubbliche) devianti dalla cura dell’interesse generale a causa del condizionamento improprio da parte di interessi particolari</w:t>
      </w:r>
      <w:r>
        <w:rPr>
          <w:rFonts w:ascii="Times New Roman" w:hAnsi="Times New Roman"/>
          <w:sz w:val="20"/>
          <w:szCs w:val="20"/>
        </w:rPr>
        <w:t>”.</w:t>
      </w:r>
    </w:p>
    <w:p w14:paraId="3D961D14" w14:textId="77777777" w:rsidR="00603F3F" w:rsidRPr="00CD7FBE" w:rsidRDefault="00603F3F" w:rsidP="00603F3F">
      <w:pPr>
        <w:widowControl w:val="0"/>
        <w:spacing w:after="0"/>
        <w:jc w:val="both"/>
        <w:rPr>
          <w:rFonts w:ascii="Times New Roman" w:hAnsi="Times New Roman"/>
          <w:sz w:val="20"/>
          <w:szCs w:val="20"/>
        </w:rPr>
      </w:pPr>
    </w:p>
    <w:p w14:paraId="7E467906" w14:textId="77E465F3" w:rsidR="00603F3F"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Il presente documento si inserisce all’interno di un quadro normativo che ha visto il susseguirsi di una serie di provvedimenti in materia di prevenzione della corruzione</w:t>
      </w:r>
      <w:r w:rsidRPr="00CD7FBE">
        <w:rPr>
          <w:rStyle w:val="Rimandonotadichiusura"/>
          <w:rFonts w:ascii="Times New Roman" w:hAnsi="Times New Roman"/>
          <w:sz w:val="20"/>
          <w:szCs w:val="20"/>
        </w:rPr>
        <w:endnoteReference w:id="5"/>
      </w:r>
      <w:r w:rsidRPr="00CD7FBE">
        <w:rPr>
          <w:rFonts w:ascii="Times New Roman" w:hAnsi="Times New Roman"/>
          <w:sz w:val="20"/>
          <w:szCs w:val="20"/>
        </w:rPr>
        <w:t>, di trasparenza</w:t>
      </w:r>
      <w:r w:rsidRPr="00CD7FBE">
        <w:rPr>
          <w:rStyle w:val="Rimandonotadichiusura"/>
          <w:rFonts w:ascii="Times New Roman" w:hAnsi="Times New Roman"/>
          <w:sz w:val="20"/>
          <w:szCs w:val="20"/>
        </w:rPr>
        <w:endnoteReference w:id="6"/>
      </w:r>
      <w:r w:rsidRPr="00CD7FBE">
        <w:rPr>
          <w:rFonts w:ascii="Times New Roman" w:hAnsi="Times New Roman"/>
          <w:sz w:val="20"/>
          <w:szCs w:val="20"/>
        </w:rPr>
        <w:t xml:space="preserve"> e di ciclo della </w:t>
      </w:r>
      <w:r w:rsidRPr="00CD7FBE">
        <w:rPr>
          <w:rFonts w:ascii="Times New Roman" w:hAnsi="Times New Roman"/>
          <w:i/>
          <w:sz w:val="20"/>
          <w:szCs w:val="20"/>
        </w:rPr>
        <w:t>performance</w:t>
      </w:r>
      <w:r w:rsidRPr="00CD7FBE">
        <w:rPr>
          <w:rStyle w:val="Rimandonotadichiusura"/>
          <w:rFonts w:ascii="Times New Roman" w:hAnsi="Times New Roman"/>
          <w:i/>
          <w:sz w:val="20"/>
          <w:szCs w:val="20"/>
        </w:rPr>
        <w:endnoteReference w:id="7"/>
      </w:r>
      <w:r w:rsidRPr="00CD7FBE">
        <w:rPr>
          <w:rFonts w:ascii="Times New Roman" w:hAnsi="Times New Roman"/>
          <w:sz w:val="20"/>
          <w:szCs w:val="20"/>
        </w:rPr>
        <w:t>, facendo emergere un’esigenza di integrazione e coordinamento delle diverse disposizioni.</w:t>
      </w:r>
      <w:r>
        <w:rPr>
          <w:rFonts w:ascii="Times New Roman" w:hAnsi="Times New Roman"/>
          <w:sz w:val="20"/>
          <w:szCs w:val="20"/>
        </w:rPr>
        <w:t xml:space="preserve"> L’ANAC, con delibera</w:t>
      </w:r>
      <w:r w:rsidRPr="00050C51">
        <w:rPr>
          <w:rFonts w:ascii="Times New Roman" w:hAnsi="Times New Roman"/>
          <w:sz w:val="20"/>
          <w:szCs w:val="20"/>
        </w:rPr>
        <w:t xml:space="preserve"> n. 1134 del 8/11/2017</w:t>
      </w:r>
      <w:r>
        <w:rPr>
          <w:rFonts w:ascii="Times New Roman" w:hAnsi="Times New Roman"/>
          <w:sz w:val="20"/>
          <w:szCs w:val="20"/>
        </w:rPr>
        <w:t xml:space="preserve"> “Nuove Linee Guida per l’attuazione della normativa </w:t>
      </w:r>
      <w:r w:rsidRPr="0080666F">
        <w:rPr>
          <w:rFonts w:ascii="Times New Roman" w:hAnsi="Times New Roman"/>
          <w:sz w:val="20"/>
        </w:rPr>
        <w:t xml:space="preserve">in </w:t>
      </w:r>
      <w:r>
        <w:rPr>
          <w:rFonts w:ascii="Times New Roman" w:hAnsi="Times New Roman"/>
          <w:sz w:val="20"/>
          <w:szCs w:val="20"/>
        </w:rPr>
        <w:t>materia</w:t>
      </w:r>
      <w:r w:rsidRPr="0080666F">
        <w:rPr>
          <w:rFonts w:ascii="Times New Roman" w:hAnsi="Times New Roman"/>
          <w:sz w:val="20"/>
        </w:rPr>
        <w:t xml:space="preserve"> di prevenzione della corruzione </w:t>
      </w:r>
      <w:r>
        <w:rPr>
          <w:rFonts w:ascii="Times New Roman" w:hAnsi="Times New Roman"/>
          <w:sz w:val="20"/>
          <w:szCs w:val="20"/>
        </w:rPr>
        <w:t>e trasparenza da parte delle società e degli enti di diritto privato controllati e partecipati dalle pubbliche amministrazioni e degli enti pubblici economici”, ha sancito che “</w:t>
      </w:r>
      <w:r w:rsidRPr="00050C51">
        <w:rPr>
          <w:rFonts w:ascii="Times New Roman" w:hAnsi="Times New Roman"/>
          <w:i/>
          <w:sz w:val="20"/>
          <w:szCs w:val="20"/>
        </w:rPr>
        <w:t>le misure volte alla prevenzione della corruzione ex lege n. 190 del 2012 sono elaborate dal Responsabile della prevenzione della corruzione in stretto coordinamento con l’organismo di vigilanza e sono adottate dall’organo di indirizzo della società, individuato nel consiglio di amministrazione o in altro organo con funzioni equivalenti</w:t>
      </w:r>
      <w:r>
        <w:rPr>
          <w:rFonts w:ascii="Times New Roman" w:hAnsi="Times New Roman"/>
          <w:sz w:val="20"/>
          <w:szCs w:val="20"/>
        </w:rPr>
        <w:t>”. La stessa Autorità</w:t>
      </w:r>
      <w:r w:rsidRPr="00CD7FBE">
        <w:rPr>
          <w:rFonts w:ascii="Times New Roman" w:hAnsi="Times New Roman"/>
          <w:sz w:val="20"/>
          <w:szCs w:val="20"/>
        </w:rPr>
        <w:t xml:space="preserve">, con delibera n. 6/2013, </w:t>
      </w:r>
      <w:r>
        <w:rPr>
          <w:rFonts w:ascii="Times New Roman" w:hAnsi="Times New Roman"/>
          <w:sz w:val="20"/>
          <w:szCs w:val="20"/>
        </w:rPr>
        <w:t>aveva</w:t>
      </w:r>
      <w:r w:rsidRPr="00CD7FBE">
        <w:rPr>
          <w:rFonts w:ascii="Times New Roman" w:hAnsi="Times New Roman"/>
          <w:sz w:val="20"/>
          <w:szCs w:val="20"/>
        </w:rPr>
        <w:t xml:space="preserve"> promosso l’attuazione di un ciclo integrato indirizzando le amministrazioni verso la definizione, all’interno del Piano della </w:t>
      </w:r>
      <w:r w:rsidRPr="00CD7FBE">
        <w:rPr>
          <w:rFonts w:ascii="Times New Roman" w:hAnsi="Times New Roman"/>
          <w:i/>
          <w:iCs/>
          <w:sz w:val="20"/>
          <w:szCs w:val="20"/>
        </w:rPr>
        <w:t>performance</w:t>
      </w:r>
      <w:r w:rsidRPr="00CD7FBE">
        <w:rPr>
          <w:rFonts w:ascii="Times New Roman" w:hAnsi="Times New Roman"/>
          <w:sz w:val="20"/>
          <w:szCs w:val="20"/>
        </w:rPr>
        <w:t xml:space="preserve">, di obiettivi riguardanti la prevenzione della corruzione, la trasparenza e l’integrità; ulteriori indicazioni operative in tal senso sono state fornite a tutte le amministrazioni pubbliche ai fini dell’avvio del ciclo della </w:t>
      </w:r>
      <w:r w:rsidRPr="00CD7FBE">
        <w:rPr>
          <w:rFonts w:ascii="Times New Roman" w:hAnsi="Times New Roman"/>
          <w:i/>
          <w:sz w:val="20"/>
          <w:szCs w:val="20"/>
        </w:rPr>
        <w:t>performance</w:t>
      </w:r>
      <w:r>
        <w:rPr>
          <w:rFonts w:ascii="Times New Roman" w:hAnsi="Times New Roman"/>
          <w:sz w:val="20"/>
          <w:szCs w:val="20"/>
        </w:rPr>
        <w:t xml:space="preserve">. </w:t>
      </w:r>
      <w:r w:rsidRPr="00CD7FBE">
        <w:rPr>
          <w:rFonts w:ascii="Times New Roman" w:hAnsi="Times New Roman"/>
          <w:sz w:val="20"/>
          <w:szCs w:val="20"/>
        </w:rPr>
        <w:t>Allo stesso tempo</w:t>
      </w:r>
      <w:r>
        <w:rPr>
          <w:rFonts w:ascii="Times New Roman" w:hAnsi="Times New Roman"/>
          <w:sz w:val="20"/>
          <w:szCs w:val="20"/>
        </w:rPr>
        <w:t xml:space="preserve"> con </w:t>
      </w:r>
      <w:r w:rsidRPr="00CD7FBE">
        <w:rPr>
          <w:rFonts w:ascii="Times New Roman" w:hAnsi="Times New Roman"/>
          <w:sz w:val="20"/>
          <w:szCs w:val="20"/>
        </w:rPr>
        <w:t xml:space="preserve">delibera n. 50/2013 </w:t>
      </w:r>
      <w:r>
        <w:rPr>
          <w:rFonts w:ascii="Times New Roman" w:hAnsi="Times New Roman"/>
          <w:sz w:val="20"/>
          <w:szCs w:val="20"/>
        </w:rPr>
        <w:t xml:space="preserve">aveva </w:t>
      </w:r>
      <w:r w:rsidRPr="00CD7FBE">
        <w:rPr>
          <w:rFonts w:ascii="Times New Roman" w:hAnsi="Times New Roman"/>
          <w:sz w:val="20"/>
          <w:szCs w:val="20"/>
        </w:rPr>
        <w:t xml:space="preserve">previsto che vi </w:t>
      </w:r>
      <w:r>
        <w:rPr>
          <w:rFonts w:ascii="Times New Roman" w:hAnsi="Times New Roman"/>
          <w:sz w:val="20"/>
          <w:szCs w:val="20"/>
        </w:rPr>
        <w:t>fosse</w:t>
      </w:r>
      <w:r w:rsidRPr="00CD7FBE">
        <w:rPr>
          <w:rFonts w:ascii="Times New Roman" w:hAnsi="Times New Roman"/>
          <w:sz w:val="20"/>
          <w:szCs w:val="20"/>
        </w:rPr>
        <w:t xml:space="preserve"> un esplicito collegamento fra il Piano della </w:t>
      </w:r>
      <w:r w:rsidRPr="00CD7FBE">
        <w:rPr>
          <w:rFonts w:ascii="Times New Roman" w:hAnsi="Times New Roman"/>
          <w:i/>
          <w:iCs/>
          <w:sz w:val="20"/>
          <w:szCs w:val="20"/>
        </w:rPr>
        <w:t>performance</w:t>
      </w:r>
      <w:r w:rsidRPr="00CD7FBE">
        <w:rPr>
          <w:rFonts w:ascii="Times New Roman" w:hAnsi="Times New Roman"/>
          <w:sz w:val="20"/>
          <w:szCs w:val="20"/>
        </w:rPr>
        <w:t xml:space="preserve">, o analoghi strumenti di pianificazione e programmazione, e gli obiettivi indicati nel </w:t>
      </w:r>
      <w:r w:rsidRPr="00B17872">
        <w:rPr>
          <w:rFonts w:ascii="Times New Roman" w:hAnsi="Times New Roman"/>
          <w:sz w:val="20"/>
          <w:szCs w:val="20"/>
        </w:rPr>
        <w:t>PTPCT</w:t>
      </w:r>
      <w:r w:rsidRPr="00CD7FBE">
        <w:rPr>
          <w:rFonts w:ascii="Times New Roman" w:hAnsi="Times New Roman"/>
          <w:sz w:val="20"/>
          <w:szCs w:val="20"/>
        </w:rPr>
        <w:t>.</w:t>
      </w:r>
      <w:r>
        <w:rPr>
          <w:rFonts w:ascii="Times New Roman" w:hAnsi="Times New Roman"/>
          <w:sz w:val="20"/>
          <w:szCs w:val="20"/>
        </w:rPr>
        <w:t xml:space="preserve"> </w:t>
      </w:r>
      <w:r w:rsidRPr="00CD7FBE">
        <w:rPr>
          <w:rFonts w:ascii="Times New Roman" w:hAnsi="Times New Roman"/>
          <w:sz w:val="20"/>
          <w:szCs w:val="20"/>
        </w:rPr>
        <w:t xml:space="preserve">Il PNA, predisposto dal Dipartimento della Funzione Pubblica e approvato dall’A.N.AC con la delibera n. 72/2013, ha previsto la coerenza tra gli obiettivi indicati nei PTPCT con quelli previsti nei Piani della </w:t>
      </w:r>
      <w:r w:rsidRPr="00CD7FBE">
        <w:rPr>
          <w:rFonts w:ascii="Times New Roman" w:hAnsi="Times New Roman"/>
          <w:i/>
          <w:iCs/>
          <w:sz w:val="20"/>
          <w:szCs w:val="20"/>
        </w:rPr>
        <w:t>performance</w:t>
      </w:r>
      <w:r>
        <w:rPr>
          <w:rFonts w:ascii="Times New Roman" w:hAnsi="Times New Roman"/>
          <w:sz w:val="20"/>
          <w:szCs w:val="20"/>
        </w:rPr>
        <w:t>.</w:t>
      </w:r>
    </w:p>
    <w:p w14:paraId="709DCD85"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70E24859"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Ciò premesso, il documento presentato in queste pagine è stato elaborato con l’intento di dare attuazione ad un ciclo integrato, garantendo una coerenza tra gli ambiti comuni sviluppati nel Piano della </w:t>
      </w:r>
      <w:r w:rsidRPr="00CD7FBE">
        <w:rPr>
          <w:rFonts w:ascii="Times New Roman" w:hAnsi="Times New Roman"/>
          <w:i/>
          <w:iCs/>
          <w:color w:val="000000"/>
          <w:sz w:val="20"/>
          <w:szCs w:val="20"/>
          <w:lang w:eastAsia="it-IT"/>
        </w:rPr>
        <w:t xml:space="preserve">performance e </w:t>
      </w:r>
      <w:r>
        <w:rPr>
          <w:rFonts w:ascii="Times New Roman" w:hAnsi="Times New Roman"/>
          <w:color w:val="000000"/>
          <w:sz w:val="20"/>
          <w:szCs w:val="20"/>
          <w:lang w:eastAsia="it-IT"/>
        </w:rPr>
        <w:t>nel PTPCT.</w:t>
      </w:r>
    </w:p>
    <w:p w14:paraId="0C5F1E9D" w14:textId="4379D2FA"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color w:val="000000"/>
          <w:sz w:val="20"/>
          <w:szCs w:val="20"/>
          <w:lang w:eastAsia="it-IT"/>
        </w:rPr>
        <w:t>La coerenza tra i due documenti viene realizzata sia in termini di obiettivi, indicatori, target e risorse associate, sia in termini di processo e moda</w:t>
      </w:r>
      <w:r>
        <w:rPr>
          <w:rFonts w:ascii="Times New Roman" w:hAnsi="Times New Roman"/>
          <w:color w:val="000000"/>
          <w:sz w:val="20"/>
          <w:szCs w:val="20"/>
          <w:lang w:eastAsia="it-IT"/>
        </w:rPr>
        <w:t xml:space="preserve">lità di sviluppo dei contenuti. </w:t>
      </w:r>
      <w:r w:rsidRPr="00CD7FBE">
        <w:rPr>
          <w:rFonts w:ascii="Times New Roman" w:hAnsi="Times New Roman"/>
          <w:sz w:val="20"/>
          <w:szCs w:val="20"/>
        </w:rPr>
        <w:t>Per evitare inutili ridondanze si è, pertanto, proceduto all’integrazione di tutte le componenti, ai sensi della legge n. 190/2012 e dei collegati Decreti, ivi inclusa la redazione del PTPCT.</w:t>
      </w:r>
    </w:p>
    <w:p w14:paraId="382615DF" w14:textId="77777777" w:rsidR="00603F3F" w:rsidRPr="00CD7FBE" w:rsidRDefault="00603F3F" w:rsidP="00603F3F">
      <w:pPr>
        <w:widowControl w:val="0"/>
        <w:spacing w:after="0"/>
        <w:jc w:val="both"/>
        <w:rPr>
          <w:rFonts w:ascii="Times New Roman" w:hAnsi="Times New Roman"/>
          <w:sz w:val="20"/>
          <w:szCs w:val="20"/>
        </w:rPr>
      </w:pPr>
    </w:p>
    <w:p w14:paraId="2821E5A1" w14:textId="77777777" w:rsidR="00603F3F" w:rsidRPr="00CD7FBE" w:rsidRDefault="00603F3F" w:rsidP="00603F3F">
      <w:pPr>
        <w:widowControl w:val="0"/>
        <w:spacing w:after="0"/>
        <w:jc w:val="both"/>
        <w:rPr>
          <w:rFonts w:ascii="Times New Roman" w:hAnsi="Times New Roman"/>
          <w:sz w:val="20"/>
          <w:szCs w:val="20"/>
        </w:rPr>
      </w:pPr>
      <w:r>
        <w:rPr>
          <w:rFonts w:ascii="Times New Roman" w:hAnsi="Times New Roman"/>
          <w:sz w:val="20"/>
          <w:szCs w:val="20"/>
        </w:rPr>
        <w:t>Il PTPCT ha la finalità di:</w:t>
      </w:r>
    </w:p>
    <w:p w14:paraId="37730E42" w14:textId="0CFFC3E5" w:rsidR="00603F3F" w:rsidRPr="002F2208" w:rsidRDefault="00603F3F" w:rsidP="00603F3F">
      <w:pPr>
        <w:widowControl w:val="0"/>
        <w:spacing w:after="0"/>
        <w:ind w:left="284" w:hanging="284"/>
        <w:jc w:val="both"/>
        <w:rPr>
          <w:rFonts w:ascii="Times New Roman" w:hAnsi="Times New Roman"/>
          <w:iCs/>
          <w:sz w:val="20"/>
          <w:szCs w:val="20"/>
        </w:rPr>
      </w:pPr>
      <w:r w:rsidRPr="002F2208">
        <w:rPr>
          <w:rFonts w:ascii="Times New Roman" w:hAnsi="Times New Roman"/>
          <w:iCs/>
          <w:sz w:val="20"/>
          <w:szCs w:val="20"/>
        </w:rPr>
        <w:t>-</w:t>
      </w:r>
      <w:r w:rsidRPr="002F2208">
        <w:rPr>
          <w:rFonts w:ascii="Times New Roman" w:hAnsi="Times New Roman"/>
          <w:iCs/>
          <w:sz w:val="20"/>
          <w:szCs w:val="20"/>
        </w:rPr>
        <w:tab/>
      </w:r>
      <w:r w:rsidRPr="001A6925">
        <w:rPr>
          <w:rFonts w:ascii="Times New Roman" w:hAnsi="Times New Roman"/>
          <w:i/>
          <w:iCs/>
          <w:sz w:val="20"/>
          <w:szCs w:val="20"/>
        </w:rPr>
        <w:t>perseguire efficienza, efficacia, trasparenza e semplificazione dell'azione amministrativa tramite l’applicazione ragionata ed efficace delle previsioni normative sui controlli e della legge anticorruzione (legge 190/2012), al fine di conseguire l'aumento del livello di consapevolezza dei doveri e delle responsabilità della società da parte della struttura interna, l'incremento significativo della qualità dell'azione amministrativa e del livello di trasparenza nell'attività propria;</w:t>
      </w:r>
    </w:p>
    <w:p w14:paraId="53F6B95D" w14:textId="0771EA2A" w:rsidR="00603F3F" w:rsidRPr="001A6925" w:rsidRDefault="00603F3F" w:rsidP="00603F3F">
      <w:pPr>
        <w:widowControl w:val="0"/>
        <w:spacing w:after="0"/>
        <w:ind w:left="284" w:hanging="284"/>
        <w:jc w:val="both"/>
        <w:rPr>
          <w:rFonts w:ascii="Times New Roman" w:hAnsi="Times New Roman"/>
          <w:i/>
          <w:iCs/>
          <w:sz w:val="20"/>
          <w:szCs w:val="20"/>
        </w:rPr>
      </w:pPr>
      <w:r w:rsidRPr="002F2208">
        <w:rPr>
          <w:rFonts w:ascii="Times New Roman" w:hAnsi="Times New Roman"/>
          <w:iCs/>
          <w:sz w:val="20"/>
          <w:szCs w:val="20"/>
        </w:rPr>
        <w:t>-</w:t>
      </w:r>
      <w:r w:rsidRPr="002F2208">
        <w:rPr>
          <w:rFonts w:ascii="Times New Roman" w:hAnsi="Times New Roman"/>
          <w:iCs/>
          <w:sz w:val="20"/>
          <w:szCs w:val="20"/>
        </w:rPr>
        <w:tab/>
      </w:r>
      <w:r w:rsidRPr="001A6925">
        <w:rPr>
          <w:rFonts w:ascii="Times New Roman" w:hAnsi="Times New Roman"/>
          <w:i/>
          <w:iCs/>
          <w:sz w:val="20"/>
          <w:szCs w:val="20"/>
        </w:rPr>
        <w:t>promuovere l’innovazione, l’efficienza organizzativa e la trasparenza quali strumenti di prevenzione della corruzione anche migliorando la qualità dell’accesso alle informazioni della società mediante l’utilizzo di strumenti avanzati di comunicazione con le amministrazioni e con gli stakeholder;</w:t>
      </w:r>
    </w:p>
    <w:p w14:paraId="3B321840"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ridurre le opportunità che favoriscono i casi di corruzione; </w:t>
      </w:r>
    </w:p>
    <w:p w14:paraId="0BD92592"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aumentare la capacità di scoprire casi di corruzione; </w:t>
      </w:r>
    </w:p>
    <w:p w14:paraId="24830F1C"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stabilire interventi organizzativi volti a prevenire il rischio corruzione;</w:t>
      </w:r>
    </w:p>
    <w:p w14:paraId="52E75A12"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creare un collegamento tra corruzione – trasparenza – performance nell’ottica di una più ampia gestione del rischio istituzionale.</w:t>
      </w:r>
    </w:p>
    <w:p w14:paraId="10774786"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evidenziare i settori e le attività/procedimenti a rischio più elevato, descrivendone il diverso livello di esposizione delle aree a rischio di corruzione e illegalità e indicando gli interventi organizzativi volti a prevenire il medesimo rischio;</w:t>
      </w:r>
    </w:p>
    <w:p w14:paraId="4AFF9122"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disciplinare le regole di attuazione, di controllo e di monitoraggio;</w:t>
      </w:r>
    </w:p>
    <w:p w14:paraId="496F9AB2" w14:textId="1E68679B"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individuare le metodologie del flusso informativo da</w:t>
      </w:r>
      <w:r w:rsidR="008A0021">
        <w:rPr>
          <w:rFonts w:ascii="Times New Roman" w:hAnsi="Times New Roman"/>
          <w:i/>
          <w:iCs/>
          <w:sz w:val="20"/>
          <w:szCs w:val="20"/>
        </w:rPr>
        <w:t>t</w:t>
      </w:r>
      <w:r w:rsidRPr="001A6925">
        <w:rPr>
          <w:rFonts w:ascii="Times New Roman" w:hAnsi="Times New Roman"/>
          <w:i/>
          <w:iCs/>
          <w:sz w:val="20"/>
          <w:szCs w:val="20"/>
        </w:rPr>
        <w:t>i  verso il Responsabile Anticorruzione;</w:t>
      </w:r>
    </w:p>
    <w:p w14:paraId="598E743B"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definire il ruolo e le funzioni del “Gruppo permanente di lavoro per il PTPCT”;</w:t>
      </w:r>
    </w:p>
    <w:p w14:paraId="490DE5E8" w14:textId="60C5A74A"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prevedere la selezione e formazione del personale dell’ente sia da impegnare nelle attività che sono esposte a rischio di corruzione (con finalità di ausilio al monitoraggio), sia in generale per tutto il personale (con finalità preventive e di diffusione di un’etica della e nella società);</w:t>
      </w:r>
    </w:p>
    <w:p w14:paraId="3539D364"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 xml:space="preserve">individuare i “Responsabili della trasmissione, della pubblicazione e dell’aggiornamento dei documenti, delle informazioni e dei dati” ed i relativi compiti e responsabilità; </w:t>
      </w:r>
    </w:p>
    <w:p w14:paraId="066F8291" w14:textId="77777777" w:rsidR="00603F3F" w:rsidRPr="001A6925" w:rsidRDefault="00603F3F" w:rsidP="003E3269">
      <w:pPr>
        <w:pStyle w:val="Paragrafoelenco"/>
        <w:widowControl w:val="0"/>
        <w:numPr>
          <w:ilvl w:val="0"/>
          <w:numId w:val="9"/>
        </w:numPr>
        <w:spacing w:after="0" w:line="276" w:lineRule="auto"/>
        <w:ind w:left="284" w:hanging="284"/>
        <w:contextualSpacing w:val="0"/>
        <w:jc w:val="both"/>
        <w:rPr>
          <w:rFonts w:ascii="Times New Roman" w:hAnsi="Times New Roman"/>
          <w:i/>
          <w:iCs/>
          <w:sz w:val="20"/>
          <w:szCs w:val="20"/>
        </w:rPr>
      </w:pPr>
      <w:r w:rsidRPr="001A6925">
        <w:rPr>
          <w:rFonts w:ascii="Times New Roman" w:hAnsi="Times New Roman"/>
          <w:i/>
          <w:iCs/>
          <w:sz w:val="20"/>
          <w:szCs w:val="20"/>
        </w:rPr>
        <w:t>disciplinare il monitoraggio del diritto di accesso civico.</w:t>
      </w:r>
    </w:p>
    <w:p w14:paraId="7EF0A2FA" w14:textId="77777777" w:rsidR="00603F3F" w:rsidRPr="001A6925" w:rsidRDefault="00603F3F" w:rsidP="00603F3F">
      <w:pPr>
        <w:widowControl w:val="0"/>
        <w:spacing w:after="0"/>
        <w:ind w:left="284" w:hanging="284"/>
        <w:jc w:val="both"/>
        <w:rPr>
          <w:rFonts w:ascii="Times New Roman" w:hAnsi="Times New Roman"/>
          <w:i/>
          <w:iCs/>
          <w:sz w:val="20"/>
          <w:szCs w:val="20"/>
        </w:rPr>
      </w:pPr>
      <w:r w:rsidRPr="001A6925">
        <w:rPr>
          <w:rFonts w:ascii="Times New Roman" w:hAnsi="Times New Roman"/>
          <w:i/>
          <w:iCs/>
          <w:sz w:val="20"/>
          <w:szCs w:val="20"/>
        </w:rPr>
        <w:t>-</w:t>
      </w:r>
      <w:r w:rsidRPr="001A6925">
        <w:rPr>
          <w:rFonts w:ascii="Times New Roman" w:hAnsi="Times New Roman"/>
          <w:i/>
          <w:iCs/>
          <w:sz w:val="20"/>
          <w:szCs w:val="20"/>
        </w:rPr>
        <w:tab/>
        <w:t>promuovere l’informatizzazione dei flussi di comunicazione interna al fine dell’assolvimento degli obblighi di trasparenza e per il relativo controllo;</w:t>
      </w:r>
    </w:p>
    <w:p w14:paraId="70A95AC3" w14:textId="65B804CA" w:rsidR="00603F3F" w:rsidRPr="00CD7FBE" w:rsidRDefault="00603F3F" w:rsidP="00603F3F">
      <w:pPr>
        <w:widowControl w:val="0"/>
        <w:spacing w:after="0"/>
        <w:ind w:left="284" w:hanging="284"/>
        <w:jc w:val="both"/>
        <w:rPr>
          <w:rFonts w:ascii="Times New Roman" w:hAnsi="Times New Roman"/>
          <w:iCs/>
          <w:sz w:val="20"/>
          <w:szCs w:val="20"/>
        </w:rPr>
      </w:pPr>
      <w:r w:rsidRPr="002F2208">
        <w:rPr>
          <w:rFonts w:ascii="Times New Roman" w:hAnsi="Times New Roman"/>
          <w:iCs/>
          <w:sz w:val="20"/>
          <w:szCs w:val="20"/>
        </w:rPr>
        <w:t>-</w:t>
      </w:r>
      <w:r w:rsidRPr="002F2208">
        <w:rPr>
          <w:rFonts w:ascii="Times New Roman" w:hAnsi="Times New Roman"/>
          <w:iCs/>
          <w:sz w:val="20"/>
          <w:szCs w:val="20"/>
        </w:rPr>
        <w:tab/>
      </w:r>
      <w:r w:rsidRPr="001A6925">
        <w:rPr>
          <w:rFonts w:ascii="Times New Roman" w:hAnsi="Times New Roman"/>
          <w:i/>
          <w:iCs/>
          <w:sz w:val="20"/>
          <w:szCs w:val="20"/>
        </w:rPr>
        <w:t>individuare dati ulteriori da pubblicare quali, a titolo esemplificativo e non esaustivo: gli atti ed i documenti emanati ai sensi del D. Lgs. n. 196/2003 recante “Codice in materia di protezione dei dati personali” così come integrato con le modifiche introdotte dal d.lgs. 10 agosto 2018, n. 101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e del D. Lgs. n. 81/2008 recante “Attuazione dell'articolo 1 della legge 3 agosto 2007, n. 123, in materia di tutela della salute e della sicurezza nei luoghi di lavoro”; le progressioni di carriera; le procedure selettive interne.</w:t>
      </w:r>
    </w:p>
    <w:p w14:paraId="2C0BD41E" w14:textId="77777777" w:rsidR="00603F3F" w:rsidRPr="002559B6" w:rsidRDefault="00603F3F" w:rsidP="00603F3F">
      <w:pPr>
        <w:widowControl w:val="0"/>
        <w:spacing w:after="0"/>
        <w:jc w:val="both"/>
        <w:rPr>
          <w:rFonts w:ascii="Times New Roman" w:hAnsi="Times New Roman"/>
          <w:sz w:val="16"/>
          <w:szCs w:val="16"/>
        </w:rPr>
      </w:pPr>
    </w:p>
    <w:p w14:paraId="3D28F6A9" w14:textId="41B841FF" w:rsidR="00603F3F"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La Legge 190/2012 individua, quale strumento fondamentale per la prevenzione della corruzione e dell’illegalità, la trasparenza, intesa come accessibilità totale delle informazioni concernenti l’organizzazione e l’attività delle pubbliche amministrazioni, allo scopo di favorire forme diffuse di controllo nel perseguimento delle funzioni istituzionali e sull’ut</w:t>
      </w:r>
      <w:r>
        <w:rPr>
          <w:rFonts w:ascii="Times New Roman" w:hAnsi="Times New Roman"/>
          <w:sz w:val="20"/>
          <w:szCs w:val="20"/>
        </w:rPr>
        <w:t xml:space="preserve">ilizzo delle risorse pubbliche. </w:t>
      </w:r>
      <w:r w:rsidRPr="00CD7FBE">
        <w:rPr>
          <w:rFonts w:ascii="Times New Roman" w:hAnsi="Times New Roman"/>
          <w:sz w:val="20"/>
          <w:szCs w:val="20"/>
        </w:rPr>
        <w:t xml:space="preserve">In tal senso, il PTPCT può avere successo solo attraverso la sua integrazione non soltanto con le disposizioni di cui al </w:t>
      </w:r>
      <w:r>
        <w:rPr>
          <w:rFonts w:ascii="Times New Roman" w:hAnsi="Times New Roman"/>
          <w:sz w:val="20"/>
          <w:szCs w:val="20"/>
        </w:rPr>
        <w:t>D. Lgs</w:t>
      </w:r>
      <w:r w:rsidRPr="00CD7FBE">
        <w:rPr>
          <w:rFonts w:ascii="Times New Roman" w:hAnsi="Times New Roman"/>
          <w:sz w:val="20"/>
          <w:szCs w:val="20"/>
        </w:rPr>
        <w:t>. 33/2013 che integrano l’individuazione del livello essenziale delle prestazioni erogate dalle amministrazioni pubbliche ai fini della trasparenza, prevenzione e contrasto della corruzione e della cattiva amministrazione, ma anche con il MOG</w:t>
      </w:r>
      <w:r>
        <w:rPr>
          <w:rFonts w:ascii="Times New Roman" w:hAnsi="Times New Roman"/>
          <w:sz w:val="20"/>
          <w:szCs w:val="20"/>
        </w:rPr>
        <w:t>,</w:t>
      </w:r>
      <w:r w:rsidRPr="00CD7FBE">
        <w:rPr>
          <w:rFonts w:ascii="Times New Roman" w:hAnsi="Times New Roman"/>
          <w:sz w:val="20"/>
          <w:szCs w:val="20"/>
        </w:rPr>
        <w:t xml:space="preserve"> adottato dalla </w:t>
      </w:r>
      <w:r>
        <w:rPr>
          <w:rFonts w:ascii="Times New Roman" w:hAnsi="Times New Roman"/>
          <w:sz w:val="20"/>
          <w:szCs w:val="20"/>
        </w:rPr>
        <w:t>società</w:t>
      </w:r>
      <w:r w:rsidRPr="00CD7FBE">
        <w:rPr>
          <w:rFonts w:ascii="Times New Roman" w:hAnsi="Times New Roman"/>
          <w:sz w:val="20"/>
          <w:szCs w:val="20"/>
        </w:rPr>
        <w:t>, contenente il Codice Etico e il Codice di Comportamento che la delibera CiVIT (oggi A.N.AC.) n. 75/2013 individua come elemento essenziale del Piano medesimo.</w:t>
      </w:r>
    </w:p>
    <w:p w14:paraId="678B810B" w14:textId="77777777" w:rsidR="00603F3F" w:rsidRPr="00CD7FBE" w:rsidRDefault="00603F3F" w:rsidP="00603F3F">
      <w:pPr>
        <w:widowControl w:val="0"/>
        <w:spacing w:after="0"/>
        <w:jc w:val="both"/>
        <w:rPr>
          <w:rFonts w:ascii="Times New Roman" w:hAnsi="Times New Roman"/>
          <w:sz w:val="20"/>
          <w:szCs w:val="20"/>
        </w:rPr>
      </w:pPr>
    </w:p>
    <w:p w14:paraId="208BE9DB" w14:textId="77777777" w:rsidR="00603F3F" w:rsidRPr="00BC3A4A" w:rsidRDefault="00603F3F" w:rsidP="00603F3F">
      <w:pPr>
        <w:pStyle w:val="Titolo2"/>
        <w:keepNext w:val="0"/>
        <w:spacing w:line="276" w:lineRule="auto"/>
        <w:ind w:left="426" w:hanging="426"/>
        <w:rPr>
          <w:color w:val="0070C0"/>
        </w:rPr>
      </w:pPr>
      <w:bookmarkStart w:id="11" w:name="_Toc410231331"/>
      <w:bookmarkStart w:id="12" w:name="_Toc410231648"/>
      <w:bookmarkStart w:id="13" w:name="_Toc410232832"/>
      <w:bookmarkStart w:id="14" w:name="_Toc418505923"/>
      <w:bookmarkStart w:id="15" w:name="_Toc454796202"/>
      <w:bookmarkStart w:id="16" w:name="_Toc454796264"/>
      <w:bookmarkStart w:id="17" w:name="_Toc473547375"/>
      <w:bookmarkStart w:id="18" w:name="_Toc535854392"/>
      <w:r w:rsidRPr="00BC3A4A">
        <w:rPr>
          <w:color w:val="0070C0"/>
        </w:rPr>
        <w:t>Il quadro normativo</w:t>
      </w:r>
      <w:bookmarkEnd w:id="11"/>
      <w:bookmarkEnd w:id="12"/>
      <w:bookmarkEnd w:id="13"/>
      <w:bookmarkEnd w:id="14"/>
      <w:bookmarkEnd w:id="15"/>
      <w:bookmarkEnd w:id="16"/>
      <w:bookmarkEnd w:id="17"/>
      <w:bookmarkEnd w:id="18"/>
    </w:p>
    <w:p w14:paraId="32973846" w14:textId="77777777"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Le principali prescrizioni normative che sono state seguite nel corso della stesura del PTPCT sono</w:t>
      </w:r>
      <w:r>
        <w:rPr>
          <w:rFonts w:ascii="Times New Roman" w:hAnsi="Times New Roman"/>
          <w:sz w:val="20"/>
          <w:szCs w:val="20"/>
        </w:rPr>
        <w:t>:</w:t>
      </w:r>
    </w:p>
    <w:p w14:paraId="6E56945E" w14:textId="12634CBD"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legislativo 30 marzo 2001, n. 165, </w:t>
      </w:r>
      <w:r w:rsidRPr="00CD7FBE">
        <w:rPr>
          <w:rFonts w:ascii="Times New Roman" w:hAnsi="Times New Roman"/>
          <w:i/>
          <w:color w:val="000000"/>
          <w:sz w:val="20"/>
          <w:szCs w:val="20"/>
          <w:lang w:eastAsia="it-IT"/>
        </w:rPr>
        <w:t>Norme generali sull'ordinamento del lavoro alle dipendenze delle amministrazioni pubbliche</w:t>
      </w:r>
      <w:r w:rsidRPr="00CD7FBE">
        <w:rPr>
          <w:rFonts w:ascii="Times New Roman" w:hAnsi="Times New Roman"/>
          <w:color w:val="000000"/>
          <w:sz w:val="20"/>
          <w:szCs w:val="20"/>
          <w:lang w:eastAsia="it-IT"/>
        </w:rPr>
        <w:t xml:space="preserve">; </w:t>
      </w:r>
    </w:p>
    <w:p w14:paraId="0A86CA2B"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legislativo 27 ottobre 2009, n. 150, </w:t>
      </w:r>
      <w:r w:rsidRPr="00CD7FBE">
        <w:rPr>
          <w:rFonts w:ascii="Times New Roman" w:hAnsi="Times New Roman"/>
          <w:i/>
          <w:color w:val="000000"/>
          <w:sz w:val="20"/>
          <w:szCs w:val="20"/>
          <w:lang w:eastAsia="it-IT"/>
        </w:rPr>
        <w:t>Attuazione della legge 4 marzo 2009, n. 15, in materia di ottimizzazione della produttività del lavoro pubblico e di efficienza e trasparenza delle pubbliche amministrazioni</w:t>
      </w:r>
      <w:r w:rsidRPr="00CD7FBE">
        <w:rPr>
          <w:rFonts w:ascii="Times New Roman" w:hAnsi="Times New Roman"/>
          <w:color w:val="000000"/>
          <w:sz w:val="20"/>
          <w:szCs w:val="20"/>
          <w:lang w:eastAsia="it-IT"/>
        </w:rPr>
        <w:t xml:space="preserve">; </w:t>
      </w:r>
    </w:p>
    <w:p w14:paraId="70069C60" w14:textId="695D9151"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legge 18 ottobre 2012, n. 179, </w:t>
      </w:r>
      <w:r w:rsidRPr="00CD7FBE">
        <w:rPr>
          <w:rFonts w:ascii="Times New Roman" w:hAnsi="Times New Roman"/>
          <w:i/>
          <w:color w:val="000000"/>
          <w:sz w:val="20"/>
          <w:szCs w:val="20"/>
          <w:lang w:eastAsia="it-IT"/>
        </w:rPr>
        <w:t>Ulteriori misure urgenti per la crescita del Paese</w:t>
      </w:r>
      <w:r w:rsidRPr="00CD7FBE">
        <w:rPr>
          <w:rFonts w:ascii="Times New Roman" w:hAnsi="Times New Roman"/>
          <w:color w:val="000000"/>
          <w:sz w:val="20"/>
          <w:szCs w:val="20"/>
          <w:lang w:eastAsia="it-IT"/>
        </w:rPr>
        <w:t xml:space="preserve">, convertito con modificazioni dalla legge n. 221 del 17 </w:t>
      </w:r>
      <w:r>
        <w:rPr>
          <w:rFonts w:ascii="Times New Roman" w:hAnsi="Times New Roman"/>
          <w:color w:val="000000"/>
          <w:sz w:val="20"/>
          <w:szCs w:val="20"/>
          <w:lang w:eastAsia="it-IT"/>
        </w:rPr>
        <w:t>d</w:t>
      </w:r>
      <w:r w:rsidRPr="00CD7FBE">
        <w:rPr>
          <w:rFonts w:ascii="Times New Roman" w:hAnsi="Times New Roman"/>
          <w:color w:val="000000"/>
          <w:sz w:val="20"/>
          <w:szCs w:val="20"/>
          <w:lang w:eastAsia="it-IT"/>
        </w:rPr>
        <w:t xml:space="preserve">icembre 2012; </w:t>
      </w:r>
    </w:p>
    <w:p w14:paraId="48A9F706"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Legge 6 novembre 2012, n. 190, </w:t>
      </w:r>
      <w:r w:rsidRPr="00CD7FBE">
        <w:rPr>
          <w:rFonts w:ascii="Times New Roman" w:hAnsi="Times New Roman"/>
          <w:i/>
          <w:color w:val="000000"/>
          <w:sz w:val="20"/>
          <w:szCs w:val="20"/>
          <w:lang w:eastAsia="it-IT"/>
        </w:rPr>
        <w:t>Disposizioni per la prevenzione e la repressione della corruzione e dell'illegalità nella Pubblica Amministrazione</w:t>
      </w:r>
      <w:r w:rsidRPr="00CD7FBE">
        <w:rPr>
          <w:rFonts w:ascii="Times New Roman" w:hAnsi="Times New Roman"/>
          <w:color w:val="000000"/>
          <w:sz w:val="20"/>
          <w:szCs w:val="20"/>
          <w:lang w:eastAsia="it-IT"/>
        </w:rPr>
        <w:t xml:space="preserve">; </w:t>
      </w:r>
    </w:p>
    <w:p w14:paraId="3B768D9A"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Decreto legislativo 14 marzo 2013, n. 33 “Riordino della disciplina riguardante il diritto di accesso civico e gli obblighi di pubblicità, trasparenza e diffusione di informazioni da parte delle pubbliche amministrazioni”, come modificato dal Decreto Legislativo 25 maggio 2016, n. 97;</w:t>
      </w:r>
    </w:p>
    <w:p w14:paraId="4E23206A"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legislativo 8 aprile 2013, n. 39, </w:t>
      </w:r>
      <w:r w:rsidRPr="00CD7FBE">
        <w:rPr>
          <w:rFonts w:ascii="Times New Roman" w:hAnsi="Times New Roman"/>
          <w:i/>
          <w:color w:val="000000"/>
          <w:sz w:val="20"/>
          <w:szCs w:val="20"/>
          <w:lang w:eastAsia="it-IT"/>
        </w:rPr>
        <w:t>Disposizioni</w:t>
      </w:r>
      <w:r w:rsidRPr="00CD7FBE">
        <w:rPr>
          <w:rFonts w:ascii="Times New Roman" w:hAnsi="Times New Roman"/>
          <w:color w:val="000000"/>
          <w:sz w:val="20"/>
          <w:szCs w:val="20"/>
          <w:lang w:eastAsia="it-IT"/>
        </w:rPr>
        <w:t xml:space="preserve"> </w:t>
      </w:r>
      <w:r w:rsidRPr="00CD7FBE">
        <w:rPr>
          <w:rFonts w:ascii="Times New Roman" w:hAnsi="Times New Roman"/>
          <w:i/>
          <w:color w:val="000000"/>
          <w:sz w:val="20"/>
          <w:szCs w:val="20"/>
          <w:lang w:eastAsia="it-IT"/>
        </w:rPr>
        <w:t>in materia di inconferibilità e incompatibilità di incarichi presso le pubbliche amministrazioni e presso gli enti privati in controllo pubblico, a norma dell'articolo 1, commi 49 e 50, della legge 6 novembre 2012, n. 190</w:t>
      </w:r>
      <w:r w:rsidRPr="00CD7FBE">
        <w:rPr>
          <w:rFonts w:ascii="Times New Roman" w:hAnsi="Times New Roman"/>
          <w:color w:val="000000"/>
          <w:sz w:val="20"/>
          <w:szCs w:val="20"/>
          <w:lang w:eastAsia="it-IT"/>
        </w:rPr>
        <w:t>;</w:t>
      </w:r>
    </w:p>
    <w:p w14:paraId="349F69AF"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D.P.R. 16 aprile 2013, n. 62, intitolato </w:t>
      </w:r>
      <w:r w:rsidRPr="00CD7FBE">
        <w:rPr>
          <w:rFonts w:ascii="Times New Roman" w:hAnsi="Times New Roman"/>
          <w:i/>
          <w:color w:val="000000"/>
          <w:sz w:val="20"/>
          <w:szCs w:val="20"/>
          <w:lang w:eastAsia="it-IT"/>
        </w:rPr>
        <w:t>Regolamento recante codice di comportamento dei dipendenti pubblici, a norma dell’articolo 54 del decreto legislativo 30 marzo 2001, n. 165</w:t>
      </w:r>
      <w:r w:rsidRPr="00CD7FBE">
        <w:rPr>
          <w:rFonts w:ascii="Times New Roman" w:hAnsi="Times New Roman"/>
          <w:color w:val="000000"/>
          <w:sz w:val="20"/>
          <w:szCs w:val="20"/>
          <w:lang w:eastAsia="it-IT"/>
        </w:rPr>
        <w:t xml:space="preserve">; </w:t>
      </w:r>
    </w:p>
    <w:p w14:paraId="1E7E644B"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Decreto legge 31 agosto 2013, n. 101, </w:t>
      </w:r>
      <w:r w:rsidRPr="00CD7FBE">
        <w:rPr>
          <w:rFonts w:ascii="Times New Roman" w:hAnsi="Times New Roman"/>
          <w:i/>
          <w:color w:val="000000"/>
          <w:sz w:val="20"/>
          <w:szCs w:val="20"/>
          <w:lang w:eastAsia="it-IT"/>
        </w:rPr>
        <w:t>Disposizioni urgenti per il perseguimento di obiettivi di razionalizzazione nelle pubbliche amministrazioni</w:t>
      </w:r>
      <w:r w:rsidRPr="00CD7FBE">
        <w:rPr>
          <w:rFonts w:ascii="Times New Roman" w:hAnsi="Times New Roman"/>
          <w:color w:val="000000"/>
          <w:sz w:val="20"/>
          <w:szCs w:val="20"/>
          <w:lang w:eastAsia="it-IT"/>
        </w:rPr>
        <w:t xml:space="preserve"> convertito in legge il 30 ottobre 2013, n. 125;</w:t>
      </w:r>
    </w:p>
    <w:p w14:paraId="71DA556E"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 xml:space="preserve">Piano Nazionale Anticorruzione predisposto dal Dipartimento della Funzione Pubblica ed approvato in data 11 settembre 2013 con la delibera dell'A.N.AC. n. 72/2013 ed i relativi allegati; </w:t>
      </w:r>
    </w:p>
    <w:p w14:paraId="600C420A"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Delibera A.N.AC. n. 75/2013 del 24 ottobre 2013 “</w:t>
      </w:r>
      <w:r w:rsidRPr="00CD7FBE">
        <w:rPr>
          <w:rFonts w:ascii="Times New Roman" w:hAnsi="Times New Roman"/>
          <w:i/>
          <w:color w:val="000000"/>
          <w:sz w:val="20"/>
          <w:szCs w:val="20"/>
          <w:lang w:eastAsia="it-IT"/>
        </w:rPr>
        <w:t>Linee Guida in materia di codici di comportamento delle pubbliche amministrazioni</w:t>
      </w:r>
      <w:r w:rsidRPr="00CD7FBE">
        <w:rPr>
          <w:rFonts w:ascii="Times New Roman" w:hAnsi="Times New Roman"/>
          <w:color w:val="000000"/>
          <w:sz w:val="20"/>
          <w:szCs w:val="20"/>
          <w:lang w:eastAsia="it-IT"/>
        </w:rPr>
        <w:t xml:space="preserve">; </w:t>
      </w:r>
    </w:p>
    <w:p w14:paraId="514E54D2"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t>Circolare del Dipartimento della Funzione Pubblica n. 1/2014 del 14 febbraio 2014</w:t>
      </w:r>
      <w:r w:rsidRPr="00CD7FBE">
        <w:rPr>
          <w:rFonts w:ascii="Times New Roman" w:hAnsi="Times New Roman"/>
          <w:color w:val="000000"/>
          <w:sz w:val="20"/>
          <w:szCs w:val="20"/>
          <w:lang w:eastAsia="it-IT"/>
        </w:rPr>
        <w:t xml:space="preserve"> </w:t>
      </w:r>
      <w:r w:rsidRPr="00CD7FBE">
        <w:rPr>
          <w:rFonts w:ascii="Times New Roman" w:hAnsi="Times New Roman"/>
          <w:i/>
          <w:color w:val="000000"/>
          <w:sz w:val="20"/>
          <w:szCs w:val="20"/>
          <w:lang w:eastAsia="it-IT"/>
        </w:rPr>
        <w:t>Ambito soggettivo e oggettivo di applicazione delle regole di trasparenza di cui alla legge 6 novembre 2012, n. 190 e al decreto legislativo 14 marzo 2013, n. 33: in particolare, gli enti economici e le società partecipate</w:t>
      </w:r>
      <w:r w:rsidRPr="00CD7FBE">
        <w:rPr>
          <w:rFonts w:ascii="Times New Roman" w:hAnsi="Times New Roman"/>
          <w:color w:val="000000"/>
          <w:sz w:val="20"/>
          <w:szCs w:val="20"/>
          <w:lang w:eastAsia="it-IT"/>
        </w:rPr>
        <w:t xml:space="preserve">; </w:t>
      </w:r>
    </w:p>
    <w:p w14:paraId="4518D84D"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Decreto-Legge 24 giugno 2014, n. 90, recante “</w:t>
      </w:r>
      <w:r w:rsidRPr="00CD7FBE">
        <w:rPr>
          <w:rFonts w:ascii="Times New Roman" w:hAnsi="Times New Roman"/>
          <w:i/>
          <w:color w:val="000000"/>
          <w:sz w:val="20"/>
          <w:szCs w:val="20"/>
          <w:lang w:eastAsia="it-IT"/>
        </w:rPr>
        <w:t>Misure urgenti per la semplificazione e la trasparenza amministrativa e per l'efficienza degli uffici giudiziari</w:t>
      </w:r>
      <w:r w:rsidRPr="00CD7FBE">
        <w:rPr>
          <w:rFonts w:ascii="Times New Roman" w:hAnsi="Times New Roman"/>
          <w:color w:val="000000"/>
          <w:sz w:val="20"/>
          <w:szCs w:val="20"/>
          <w:lang w:eastAsia="it-IT"/>
        </w:rPr>
        <w:t>”;</w:t>
      </w:r>
    </w:p>
    <w:p w14:paraId="652EDDE8" w14:textId="7DE7BBA1" w:rsidR="00603F3F" w:rsidRPr="00CD7FBE" w:rsidRDefault="00603F3F" w:rsidP="00603F3F">
      <w:pPr>
        <w:widowControl w:val="0"/>
        <w:autoSpaceDE w:val="0"/>
        <w:autoSpaceDN w:val="0"/>
        <w:adjustRightInd w:val="0"/>
        <w:spacing w:after="0"/>
        <w:ind w:left="284" w:hanging="284"/>
        <w:jc w:val="both"/>
        <w:rPr>
          <w:rFonts w:ascii="Times New Roman" w:hAnsi="Times New Roman"/>
          <w:bCs/>
          <w:i/>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CD7FBE">
        <w:rPr>
          <w:rFonts w:ascii="Times New Roman" w:hAnsi="Times New Roman"/>
          <w:bCs/>
          <w:iCs/>
          <w:sz w:val="20"/>
          <w:szCs w:val="20"/>
          <w:lang w:eastAsia="it-IT"/>
        </w:rPr>
        <w:t xml:space="preserve">Decreto del Presidente del consiglio dei ministri 22 settembre 2014 </w:t>
      </w:r>
      <w:r w:rsidRPr="00CD7FBE">
        <w:rPr>
          <w:rFonts w:ascii="Times New Roman" w:hAnsi="Times New Roman"/>
          <w:bCs/>
          <w:i/>
          <w:sz w:val="20"/>
          <w:szCs w:val="20"/>
          <w:lang w:eastAsia="it-IT"/>
        </w:rPr>
        <w:t>Definizione degli schemi e delle modalità per la pubblicazione su internet dei dati relativi alle entrate e alla spesa dei bilanci preventivi e consuntivi e dell'indicatore annuale di tempestività dei pagamenti delle pubbliche amministrazioni</w:t>
      </w:r>
      <w:r w:rsidRPr="00CD7FBE">
        <w:rPr>
          <w:rFonts w:ascii="Times New Roman" w:hAnsi="Times New Roman"/>
          <w:bCs/>
          <w:sz w:val="20"/>
          <w:szCs w:val="20"/>
          <w:lang w:eastAsia="it-IT"/>
        </w:rPr>
        <w:t>;</w:t>
      </w:r>
    </w:p>
    <w:p w14:paraId="5204089D"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bCs/>
          <w:i/>
          <w:sz w:val="20"/>
          <w:szCs w:val="20"/>
          <w:lang w:eastAsia="it-IT"/>
        </w:rPr>
        <w:t>-</w:t>
      </w:r>
      <w:r w:rsidRPr="00CD7FBE">
        <w:rPr>
          <w:rFonts w:ascii="Times New Roman" w:hAnsi="Times New Roman"/>
          <w:bCs/>
          <w:i/>
          <w:sz w:val="20"/>
          <w:szCs w:val="20"/>
          <w:lang w:eastAsia="it-IT"/>
        </w:rPr>
        <w:tab/>
      </w:r>
      <w:r w:rsidRPr="00CD7FBE">
        <w:rPr>
          <w:rFonts w:ascii="Times New Roman" w:hAnsi="Times New Roman"/>
          <w:bCs/>
          <w:sz w:val="20"/>
          <w:szCs w:val="20"/>
          <w:lang w:eastAsia="it-IT"/>
        </w:rPr>
        <w:t>Delibera A.N.AC. n. 10/2015 del 21 gennaio 2015</w:t>
      </w:r>
      <w:r w:rsidRPr="00CD7FBE">
        <w:rPr>
          <w:rFonts w:ascii="Times New Roman" w:hAnsi="Times New Roman"/>
          <w:bCs/>
          <w:i/>
          <w:sz w:val="20"/>
          <w:szCs w:val="20"/>
          <w:lang w:eastAsia="it-IT"/>
        </w:rPr>
        <w:t xml:space="preserve"> “</w:t>
      </w:r>
      <w:r w:rsidRPr="00CD7FBE">
        <w:rPr>
          <w:rFonts w:ascii="Times New Roman" w:hAnsi="Times New Roman"/>
          <w:i/>
          <w:color w:val="000000"/>
          <w:sz w:val="20"/>
          <w:szCs w:val="20"/>
          <w:lang w:eastAsia="it-IT"/>
        </w:rPr>
        <w:t xml:space="preserve">Individuazione dell’autorità amministrativa competente all’irrogazione delle sanzioni relative alla violazione di specifici obblighi di trasparenza (art. 47 del </w:t>
      </w:r>
      <w:r>
        <w:rPr>
          <w:rFonts w:ascii="Times New Roman" w:hAnsi="Times New Roman"/>
          <w:i/>
          <w:color w:val="000000"/>
          <w:sz w:val="20"/>
          <w:szCs w:val="20"/>
          <w:lang w:eastAsia="it-IT"/>
        </w:rPr>
        <w:t>D. Lgs</w:t>
      </w:r>
      <w:r w:rsidRPr="00CD7FBE">
        <w:rPr>
          <w:rFonts w:ascii="Times New Roman" w:hAnsi="Times New Roman"/>
          <w:i/>
          <w:color w:val="000000"/>
          <w:sz w:val="20"/>
          <w:szCs w:val="20"/>
          <w:lang w:eastAsia="it-IT"/>
        </w:rPr>
        <w:t>. 33/2013)</w:t>
      </w:r>
      <w:r w:rsidRPr="00CD7FBE">
        <w:rPr>
          <w:rFonts w:ascii="Times New Roman" w:hAnsi="Times New Roman"/>
          <w:color w:val="000000"/>
          <w:sz w:val="20"/>
          <w:szCs w:val="20"/>
          <w:lang w:eastAsia="it-IT"/>
        </w:rPr>
        <w:t>”;</w:t>
      </w:r>
    </w:p>
    <w:p w14:paraId="7FCB481F" w14:textId="333C6EEC"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Determinazione A.N.AC. n. 8 del 17 giugno 2015 “</w:t>
      </w:r>
      <w:r w:rsidRPr="00CD7FBE">
        <w:rPr>
          <w:rFonts w:ascii="Times New Roman" w:hAnsi="Times New Roman"/>
          <w:i/>
          <w:color w:val="000000"/>
          <w:sz w:val="20"/>
          <w:szCs w:val="20"/>
          <w:lang w:eastAsia="it-IT"/>
        </w:rPr>
        <w:t xml:space="preserve">Linee guida per l’attuazione della normativa in materia di prevenzione della corruzione e trasparenza da parte delle </w:t>
      </w:r>
      <w:r>
        <w:rPr>
          <w:rFonts w:ascii="Times New Roman" w:hAnsi="Times New Roman"/>
          <w:i/>
          <w:color w:val="000000"/>
          <w:sz w:val="20"/>
          <w:szCs w:val="20"/>
          <w:lang w:eastAsia="it-IT"/>
        </w:rPr>
        <w:t>società</w:t>
      </w:r>
      <w:r w:rsidRPr="00CD7FBE">
        <w:rPr>
          <w:rFonts w:ascii="Times New Roman" w:hAnsi="Times New Roman"/>
          <w:i/>
          <w:color w:val="000000"/>
          <w:sz w:val="20"/>
          <w:szCs w:val="20"/>
          <w:lang w:eastAsia="it-IT"/>
        </w:rPr>
        <w:t xml:space="preserve"> e degli Enti di diritto privato controllati e partecipati dalle pubbliche amministrazioni e degli enti pubblici economici</w:t>
      </w:r>
      <w:r w:rsidRPr="00CD7FBE">
        <w:rPr>
          <w:rFonts w:ascii="Times New Roman" w:hAnsi="Times New Roman"/>
          <w:color w:val="000000"/>
          <w:sz w:val="20"/>
          <w:szCs w:val="20"/>
          <w:lang w:eastAsia="it-IT"/>
        </w:rPr>
        <w:t>”;</w:t>
      </w:r>
    </w:p>
    <w:p w14:paraId="349ACC57"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Determinazione A.N.AC. n. 12/2015 del 28 ottobre 2015 “</w:t>
      </w:r>
      <w:r w:rsidRPr="00CD7FBE">
        <w:rPr>
          <w:rFonts w:ascii="Times New Roman" w:hAnsi="Times New Roman"/>
          <w:i/>
          <w:color w:val="000000"/>
          <w:sz w:val="20"/>
          <w:szCs w:val="20"/>
          <w:lang w:eastAsia="it-IT"/>
        </w:rPr>
        <w:t>Aggiornamento 2015 al PNA</w:t>
      </w:r>
      <w:r w:rsidRPr="00CD7FBE">
        <w:rPr>
          <w:rFonts w:ascii="Times New Roman" w:hAnsi="Times New Roman"/>
          <w:color w:val="000000"/>
          <w:sz w:val="20"/>
          <w:szCs w:val="20"/>
          <w:lang w:eastAsia="it-IT"/>
        </w:rPr>
        <w:t>”, con il quale l’A.N.AC. fornisce indicazioni integrative e chiarimenti rispetto ai contenuti del PNA 2013.</w:t>
      </w:r>
    </w:p>
    <w:p w14:paraId="319E01D8"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Decreto Legislativo 25 maggio 2016 n. 97 “</w:t>
      </w:r>
      <w:r w:rsidRPr="00AE5053">
        <w:rPr>
          <w:rFonts w:ascii="Times New Roman" w:hAnsi="Times New Roman"/>
          <w:i/>
          <w:color w:val="000000"/>
          <w:sz w:val="20"/>
          <w:szCs w:val="20"/>
          <w:lang w:eastAsia="it-IT"/>
        </w:rPr>
        <w:t>Revisione e semplificazione delle disposizioni in materia di prevenzione della corruzione, pubblicità e trasparenza, correttivo della legge 6 novembre 2012, n. 190 e del decreto legislativo 14 marzo 2013, n. 33, ai sensi dell’art. 7 della legge 7 agosto 2015, n. 124, in materia di riorganizzazione delle amministrazioni pubbliche</w:t>
      </w:r>
      <w:r w:rsidRPr="00CD7FBE">
        <w:rPr>
          <w:rFonts w:ascii="Times New Roman" w:hAnsi="Times New Roman"/>
          <w:color w:val="000000"/>
          <w:sz w:val="20"/>
          <w:szCs w:val="20"/>
          <w:lang w:eastAsia="it-IT"/>
        </w:rPr>
        <w:t>”</w:t>
      </w:r>
    </w:p>
    <w:p w14:paraId="15B985F3" w14:textId="4BF052E8"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b/>
      </w:r>
      <w:r w:rsidRPr="00CD7FBE">
        <w:rPr>
          <w:rFonts w:ascii="Times New Roman" w:hAnsi="Times New Roman"/>
          <w:color w:val="000000"/>
          <w:sz w:val="20"/>
          <w:szCs w:val="20"/>
          <w:lang w:eastAsia="it-IT"/>
        </w:rPr>
        <w:t>Decreto Legislativo 19 agosto 2016, n. 175 Testo unico in materia di società a partecipazione pubblica;</w:t>
      </w:r>
    </w:p>
    <w:p w14:paraId="095483E3"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ab/>
        <w:t>Delibera A.N.AC n. 831 del 3 agosto 2016 Determinazione di approvazione definitiva del Piano Nazionale Anticorruzione 2016;</w:t>
      </w:r>
    </w:p>
    <w:p w14:paraId="0A544F52"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t>Determinazione A.N.AC n. 833 del 3 agosto 2016 Linee guida in materia di accertamento delle inconferibilità e delle incompatibilità degli incarichi amministrativi da parte del responsabile della prevenzione della corruzione. Attività di vigilanza e poteri di accertamento dell’A.N.AC. in caso di incarichi inconferibili e incompatibili;</w:t>
      </w:r>
    </w:p>
    <w:p w14:paraId="5F73A493" w14:textId="2997B8C1"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ab/>
        <w:t xml:space="preserve">Delibera A.N.AC n. 1310/2016 Prime linee guida recanti indicazioni sull’attuazione degli obblighi di pubblicità, trasparenza e diffusione di informazioni contenute nel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33/2013 come modificato dal</w:t>
      </w:r>
      <w:r>
        <w:rPr>
          <w:rFonts w:ascii="Times New Roman" w:hAnsi="Times New Roman"/>
          <w:color w:val="000000"/>
          <w:sz w:val="20"/>
          <w:szCs w:val="20"/>
          <w:lang w:eastAsia="it-IT"/>
        </w:rPr>
        <w:t xml:space="preserve"> d.lgs.</w:t>
      </w:r>
      <w:r w:rsidRPr="00CD7FBE">
        <w:rPr>
          <w:rFonts w:ascii="Times New Roman" w:hAnsi="Times New Roman"/>
          <w:color w:val="000000"/>
          <w:sz w:val="20"/>
          <w:szCs w:val="20"/>
          <w:lang w:eastAsia="it-IT"/>
        </w:rPr>
        <w:t xml:space="preserve"> 97/2016;</w:t>
      </w:r>
    </w:p>
    <w:p w14:paraId="727D868C" w14:textId="5BD0EBDE"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ab/>
        <w:t>Determinazione A.N.AC n. 1309 del 28/12/2016 Linee guida recanti indicazioni operative ai fini della definizione delle esclusioni e dei limiti all'accesso civico di cui all’art. 5 co. 2 del</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33/2013</w:t>
      </w:r>
      <w:r>
        <w:rPr>
          <w:rFonts w:ascii="Times New Roman" w:hAnsi="Times New Roman"/>
          <w:color w:val="000000"/>
          <w:sz w:val="20"/>
          <w:szCs w:val="20"/>
          <w:lang w:eastAsia="it-IT"/>
        </w:rPr>
        <w:t>;</w:t>
      </w:r>
    </w:p>
    <w:p w14:paraId="549F9F52" w14:textId="77777777"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w:t>
      </w:r>
      <w:r>
        <w:rPr>
          <w:rFonts w:ascii="Times New Roman" w:hAnsi="Times New Roman"/>
          <w:color w:val="000000"/>
          <w:sz w:val="20"/>
          <w:szCs w:val="20"/>
          <w:lang w:eastAsia="it-IT"/>
        </w:rPr>
        <w:tab/>
      </w:r>
      <w:r w:rsidRPr="00CD7FBE">
        <w:rPr>
          <w:rFonts w:ascii="Times New Roman" w:hAnsi="Times New Roman"/>
          <w:color w:val="000000"/>
          <w:sz w:val="20"/>
          <w:szCs w:val="20"/>
          <w:lang w:eastAsia="it-IT"/>
        </w:rPr>
        <w:t>Decreto Legislativo</w:t>
      </w:r>
      <w:r>
        <w:rPr>
          <w:rFonts w:ascii="Times New Roman" w:hAnsi="Times New Roman"/>
          <w:color w:val="000000"/>
          <w:sz w:val="20"/>
          <w:szCs w:val="20"/>
          <w:lang w:eastAsia="it-IT"/>
        </w:rPr>
        <w:t xml:space="preserve"> 19 aprile 2017, n. 56 “</w:t>
      </w:r>
      <w:r w:rsidRPr="0022508D">
        <w:rPr>
          <w:rFonts w:ascii="Times New Roman" w:hAnsi="Times New Roman"/>
          <w:i/>
          <w:color w:val="000000"/>
          <w:sz w:val="20"/>
          <w:szCs w:val="20"/>
          <w:lang w:eastAsia="it-IT"/>
        </w:rPr>
        <w:t>Disposizioni integrative e correttive al decreto legislativo 18 aprile 2016, n. 50</w:t>
      </w:r>
      <w:r>
        <w:rPr>
          <w:rFonts w:ascii="Times New Roman" w:hAnsi="Times New Roman"/>
          <w:color w:val="000000"/>
          <w:sz w:val="20"/>
          <w:szCs w:val="20"/>
          <w:lang w:eastAsia="it-IT"/>
        </w:rPr>
        <w:t>” (c.d. “primo correttivo appalti”);</w:t>
      </w:r>
    </w:p>
    <w:p w14:paraId="0AAFED60" w14:textId="4E2D9645"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Legge 21 giugno 2017, n. 96 “</w:t>
      </w:r>
      <w:r w:rsidRPr="0022508D">
        <w:rPr>
          <w:rFonts w:ascii="Times New Roman" w:hAnsi="Times New Roman"/>
          <w:i/>
          <w:color w:val="000000"/>
          <w:sz w:val="20"/>
          <w:szCs w:val="20"/>
          <w:lang w:eastAsia="it-IT"/>
        </w:rPr>
        <w:t>Recante disposizioni urgenti in materia finanziaria, iniziative a favore degli enti territoriali, ulteriori interventi per le zone colpite da eventi sismici e misure per lo sviluppo</w:t>
      </w:r>
      <w:r>
        <w:rPr>
          <w:rFonts w:ascii="Times New Roman" w:hAnsi="Times New Roman"/>
          <w:color w:val="000000"/>
          <w:sz w:val="20"/>
          <w:szCs w:val="20"/>
          <w:lang w:eastAsia="it-IT"/>
        </w:rPr>
        <w:t>” di conversione del Decreto Legge 24 aprile 2017 n. 50;</w:t>
      </w:r>
    </w:p>
    <w:p w14:paraId="1A323486" w14:textId="77777777"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b/>
      </w:r>
      <w:r w:rsidRPr="00F21D38">
        <w:rPr>
          <w:rFonts w:ascii="Times New Roman" w:hAnsi="Times New Roman"/>
          <w:color w:val="000000"/>
          <w:sz w:val="20"/>
          <w:szCs w:val="20"/>
          <w:lang w:eastAsia="it-IT"/>
        </w:rPr>
        <w:t>Determinazione n. 1134 del 8/11/2017</w:t>
      </w:r>
      <w:r w:rsidRPr="00427072">
        <w:rPr>
          <w:rFonts w:ascii="Times New Roman" w:hAnsi="Times New Roman"/>
          <w:color w:val="000000"/>
          <w:sz w:val="20"/>
          <w:szCs w:val="20"/>
          <w:lang w:eastAsia="it-IT"/>
        </w:rPr>
        <w:t xml:space="preserve"> - </w:t>
      </w:r>
      <w:r w:rsidRPr="00F21D38">
        <w:rPr>
          <w:rFonts w:ascii="Times New Roman" w:hAnsi="Times New Roman"/>
          <w:color w:val="000000"/>
          <w:sz w:val="20"/>
          <w:szCs w:val="20"/>
          <w:lang w:eastAsia="it-IT"/>
        </w:rPr>
        <w:t>Nuove linee guida per l’attuazione della normativa in materia di prevenzione della corruzione e trasparenza da parte delle società e degli enti di diritto privato controllati e partecipati dalle pubbliche amministrazioni e degli enti pubblici economici</w:t>
      </w:r>
      <w:r>
        <w:rPr>
          <w:rFonts w:ascii="Times New Roman" w:hAnsi="Times New Roman"/>
          <w:color w:val="000000"/>
          <w:sz w:val="20"/>
          <w:szCs w:val="20"/>
          <w:lang w:eastAsia="it-IT"/>
        </w:rPr>
        <w:t>;</w:t>
      </w:r>
    </w:p>
    <w:p w14:paraId="1CDA0AD7" w14:textId="5858BF89" w:rsidR="00603F3F"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sidRPr="00343968">
        <w:rPr>
          <w:rFonts w:ascii="Times New Roman" w:hAnsi="Times New Roman"/>
          <w:color w:val="000000"/>
          <w:sz w:val="20"/>
          <w:szCs w:val="20"/>
          <w:lang w:eastAsia="it-IT"/>
        </w:rPr>
        <w:t>L</w:t>
      </w:r>
      <w:r>
        <w:rPr>
          <w:rFonts w:ascii="Times New Roman" w:hAnsi="Times New Roman"/>
          <w:color w:val="000000"/>
          <w:sz w:val="20"/>
          <w:szCs w:val="20"/>
          <w:lang w:eastAsia="it-IT"/>
        </w:rPr>
        <w:t>egge</w:t>
      </w:r>
      <w:r w:rsidRPr="00343968">
        <w:rPr>
          <w:rFonts w:ascii="Times New Roman" w:hAnsi="Times New Roman"/>
          <w:color w:val="000000"/>
          <w:sz w:val="20"/>
          <w:szCs w:val="20"/>
          <w:lang w:eastAsia="it-IT"/>
        </w:rPr>
        <w:t xml:space="preserve"> 30/11/2017, n. 179, recante </w:t>
      </w:r>
      <w:r>
        <w:rPr>
          <w:rFonts w:ascii="Times New Roman" w:hAnsi="Times New Roman"/>
          <w:color w:val="000000"/>
          <w:sz w:val="20"/>
          <w:szCs w:val="20"/>
          <w:lang w:eastAsia="it-IT"/>
        </w:rPr>
        <w:t>“</w:t>
      </w:r>
      <w:r w:rsidRPr="00343968">
        <w:rPr>
          <w:rFonts w:ascii="Times New Roman" w:hAnsi="Times New Roman"/>
          <w:color w:val="000000"/>
          <w:sz w:val="20"/>
          <w:szCs w:val="20"/>
          <w:lang w:eastAsia="it-IT"/>
        </w:rPr>
        <w:t>Disposizioni per la tutela degli autori di segnalazioni di reati o irregolarità di cui siano venuti a conoscenza nell'ambito di un rapporto di lavoro pubblico o privato</w:t>
      </w:r>
      <w:r>
        <w:rPr>
          <w:rFonts w:ascii="Times New Roman" w:hAnsi="Times New Roman"/>
          <w:color w:val="000000"/>
          <w:sz w:val="20"/>
          <w:szCs w:val="20"/>
          <w:lang w:eastAsia="it-IT"/>
        </w:rPr>
        <w:t>”;</w:t>
      </w:r>
    </w:p>
    <w:p w14:paraId="1315B872" w14:textId="1B172727" w:rsidR="00603F3F" w:rsidRPr="00F21D38" w:rsidRDefault="00603F3F" w:rsidP="008539DC">
      <w:pPr>
        <w:widowControl w:val="0"/>
        <w:autoSpaceDE w:val="0"/>
        <w:autoSpaceDN w:val="0"/>
        <w:adjustRightInd w:val="0"/>
        <w:spacing w:after="0"/>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b/>
        <w:t>Aggiornamento 2018 al Piano Nazionale Anticorruzi</w:t>
      </w:r>
      <w:r w:rsidR="00176C42">
        <w:rPr>
          <w:rFonts w:ascii="Times New Roman" w:hAnsi="Times New Roman"/>
          <w:color w:val="000000"/>
          <w:sz w:val="20"/>
          <w:szCs w:val="20"/>
          <w:lang w:eastAsia="it-IT"/>
        </w:rPr>
        <w:t xml:space="preserve">one, adottato con delibera </w:t>
      </w:r>
      <w:r w:rsidR="00B36F91">
        <w:rPr>
          <w:rFonts w:ascii="Times New Roman" w:hAnsi="Times New Roman"/>
          <w:color w:val="000000"/>
          <w:sz w:val="20"/>
          <w:szCs w:val="20"/>
          <w:lang w:eastAsia="it-IT"/>
        </w:rPr>
        <w:t xml:space="preserve">A.N.AC. </w:t>
      </w:r>
      <w:r w:rsidR="00176C42">
        <w:rPr>
          <w:rFonts w:ascii="Times New Roman" w:hAnsi="Times New Roman"/>
          <w:color w:val="000000"/>
          <w:sz w:val="20"/>
          <w:szCs w:val="20"/>
          <w:lang w:eastAsia="it-IT"/>
        </w:rPr>
        <w:t>n. 1074 del 21 novembre 2018</w:t>
      </w:r>
      <w:r>
        <w:rPr>
          <w:rFonts w:ascii="Times New Roman" w:hAnsi="Times New Roman"/>
          <w:color w:val="000000"/>
          <w:sz w:val="20"/>
          <w:szCs w:val="20"/>
          <w:lang w:eastAsia="it-IT"/>
        </w:rPr>
        <w:t>.</w:t>
      </w:r>
    </w:p>
    <w:p w14:paraId="30E6165A"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Per tutto quanto non inserito nel suddetto elenco ovvero all’interno del presente Piano, si fa rinvio alla normativa nazionale e regolamentare di settore.</w:t>
      </w:r>
    </w:p>
    <w:p w14:paraId="05F439A4" w14:textId="77777777" w:rsidR="00603F3F" w:rsidRPr="0080666F" w:rsidRDefault="00603F3F" w:rsidP="00603F3F">
      <w:pPr>
        <w:widowControl w:val="0"/>
        <w:spacing w:after="0"/>
        <w:jc w:val="both"/>
        <w:rPr>
          <w:rFonts w:ascii="Times New Roman" w:hAnsi="Times New Roman"/>
          <w:sz w:val="20"/>
        </w:rPr>
      </w:pPr>
    </w:p>
    <w:p w14:paraId="0553EBE0" w14:textId="6D2D1FD2" w:rsidR="00603F3F" w:rsidRDefault="00603F3F" w:rsidP="003E3269">
      <w:pPr>
        <w:pStyle w:val="Titolo3"/>
        <w:keepNext w:val="0"/>
        <w:widowControl w:val="0"/>
        <w:numPr>
          <w:ilvl w:val="1"/>
          <w:numId w:val="31"/>
        </w:numPr>
        <w:spacing w:line="276" w:lineRule="auto"/>
        <w:ind w:left="426" w:hanging="426"/>
        <w:contextualSpacing w:val="0"/>
      </w:pPr>
      <w:bookmarkStart w:id="19" w:name="_Toc535854393"/>
      <w:r>
        <w:t xml:space="preserve">Il quadro normativo </w:t>
      </w:r>
      <w:r w:rsidR="00BC3A4A" w:rsidRPr="00BC3A4A">
        <w:rPr>
          <w:rStyle w:val="Enfasigrassetto"/>
          <w:b/>
          <w:szCs w:val="20"/>
          <w:bdr w:val="none" w:sz="0" w:space="0" w:color="auto" w:frame="1"/>
          <w:shd w:val="clear" w:color="auto" w:fill="FFFFFF"/>
        </w:rPr>
        <w:t>Multiservizi dei Castelli di Marino S.p.A</w:t>
      </w:r>
      <w:r w:rsidR="00BC3A4A" w:rsidRPr="00BC3A4A">
        <w:rPr>
          <w:b w:val="0"/>
          <w:szCs w:val="20"/>
          <w:shd w:val="clear" w:color="auto" w:fill="FFFFFF"/>
        </w:rPr>
        <w:t>.</w:t>
      </w:r>
      <w:bookmarkEnd w:id="19"/>
    </w:p>
    <w:p w14:paraId="2CE26C27" w14:textId="3BC0B117" w:rsidR="00603F3F" w:rsidRPr="007D1305" w:rsidRDefault="00603F3F" w:rsidP="00603F3F">
      <w:pPr>
        <w:widowControl w:val="0"/>
        <w:spacing w:after="0"/>
        <w:jc w:val="both"/>
        <w:rPr>
          <w:rFonts w:ascii="Times New Roman" w:hAnsi="Times New Roman"/>
          <w:sz w:val="20"/>
          <w:szCs w:val="20"/>
        </w:rPr>
      </w:pPr>
      <w:r w:rsidRPr="007D1305">
        <w:rPr>
          <w:rFonts w:ascii="Times New Roman" w:hAnsi="Times New Roman"/>
          <w:sz w:val="20"/>
          <w:szCs w:val="20"/>
        </w:rPr>
        <w:t xml:space="preserve">Sotto il profilo giuridico, </w:t>
      </w:r>
      <w:r w:rsidR="00BC3A4A" w:rsidRPr="00014A79">
        <w:rPr>
          <w:rStyle w:val="Enfasigrassetto"/>
          <w:rFonts w:ascii="Times New Roman" w:hAnsi="Times New Roman"/>
          <w:sz w:val="20"/>
          <w:szCs w:val="20"/>
          <w:bdr w:val="none" w:sz="0" w:space="0" w:color="auto" w:frame="1"/>
          <w:shd w:val="clear" w:color="auto" w:fill="FFFFFF"/>
        </w:rPr>
        <w:t>Multiservizi dei Castelli di Marino S</w:t>
      </w:r>
      <w:r w:rsidR="00BC3A4A">
        <w:rPr>
          <w:rStyle w:val="Enfasigrassetto"/>
          <w:rFonts w:ascii="Times New Roman" w:hAnsi="Times New Roman"/>
          <w:sz w:val="20"/>
          <w:szCs w:val="20"/>
          <w:bdr w:val="none" w:sz="0" w:space="0" w:color="auto" w:frame="1"/>
          <w:shd w:val="clear" w:color="auto" w:fill="FFFFFF"/>
        </w:rPr>
        <w:t>.</w:t>
      </w:r>
      <w:r w:rsidR="00BC3A4A" w:rsidRPr="00014A79">
        <w:rPr>
          <w:rStyle w:val="Enfasigrassetto"/>
          <w:rFonts w:ascii="Times New Roman" w:hAnsi="Times New Roman"/>
          <w:sz w:val="20"/>
          <w:szCs w:val="20"/>
          <w:bdr w:val="none" w:sz="0" w:space="0" w:color="auto" w:frame="1"/>
          <w:shd w:val="clear" w:color="auto" w:fill="FFFFFF"/>
        </w:rPr>
        <w:t>p</w:t>
      </w:r>
      <w:r w:rsidR="00BC3A4A">
        <w:rPr>
          <w:rStyle w:val="Enfasigrassetto"/>
          <w:rFonts w:ascii="Times New Roman" w:hAnsi="Times New Roman"/>
          <w:sz w:val="20"/>
          <w:szCs w:val="20"/>
          <w:bdr w:val="none" w:sz="0" w:space="0" w:color="auto" w:frame="1"/>
          <w:shd w:val="clear" w:color="auto" w:fill="FFFFFF"/>
        </w:rPr>
        <w:t>.</w:t>
      </w:r>
      <w:r w:rsidR="00BC3A4A" w:rsidRPr="00014A79">
        <w:rPr>
          <w:rStyle w:val="Enfasigrassetto"/>
          <w:rFonts w:ascii="Times New Roman" w:hAnsi="Times New Roman"/>
          <w:sz w:val="20"/>
          <w:szCs w:val="20"/>
          <w:bdr w:val="none" w:sz="0" w:space="0" w:color="auto" w:frame="1"/>
          <w:shd w:val="clear" w:color="auto" w:fill="FFFFFF"/>
        </w:rPr>
        <w:t>A</w:t>
      </w:r>
      <w:r w:rsidR="00BC3A4A">
        <w:rPr>
          <w:rFonts w:ascii="Times New Roman" w:hAnsi="Times New Roman"/>
          <w:sz w:val="20"/>
          <w:szCs w:val="20"/>
          <w:shd w:val="clear" w:color="auto" w:fill="FFFFFF"/>
        </w:rPr>
        <w:t>.</w:t>
      </w:r>
      <w:r w:rsidR="00BC3A4A" w:rsidRPr="00014A79">
        <w:rPr>
          <w:rFonts w:ascii="Times New Roman" w:hAnsi="Times New Roman"/>
          <w:sz w:val="20"/>
          <w:szCs w:val="20"/>
          <w:shd w:val="clear" w:color="auto" w:fill="FFFFFF"/>
        </w:rPr>
        <w:t xml:space="preserve"> </w:t>
      </w:r>
      <w:r w:rsidRPr="007D1305">
        <w:rPr>
          <w:rFonts w:ascii="Times New Roman" w:hAnsi="Times New Roman"/>
          <w:sz w:val="20"/>
          <w:szCs w:val="20"/>
        </w:rPr>
        <w:t xml:space="preserve"> è una </w:t>
      </w:r>
      <w:r>
        <w:rPr>
          <w:rFonts w:ascii="Times New Roman" w:hAnsi="Times New Roman"/>
          <w:sz w:val="20"/>
          <w:szCs w:val="20"/>
        </w:rPr>
        <w:t>s</w:t>
      </w:r>
      <w:r w:rsidRPr="007D1305">
        <w:rPr>
          <w:rFonts w:ascii="Times New Roman" w:hAnsi="Times New Roman"/>
          <w:sz w:val="20"/>
          <w:szCs w:val="20"/>
        </w:rPr>
        <w:t xml:space="preserve">ocietà per </w:t>
      </w:r>
      <w:r>
        <w:rPr>
          <w:rFonts w:ascii="Times New Roman" w:hAnsi="Times New Roman"/>
          <w:sz w:val="20"/>
          <w:szCs w:val="20"/>
        </w:rPr>
        <w:t>a</w:t>
      </w:r>
      <w:r w:rsidRPr="007D1305">
        <w:rPr>
          <w:rFonts w:ascii="Times New Roman" w:hAnsi="Times New Roman"/>
          <w:sz w:val="20"/>
          <w:szCs w:val="20"/>
        </w:rPr>
        <w:t xml:space="preserve">zioni il cui unico </w:t>
      </w:r>
      <w:r>
        <w:rPr>
          <w:rFonts w:ascii="Times New Roman" w:hAnsi="Times New Roman"/>
          <w:sz w:val="20"/>
          <w:szCs w:val="20"/>
        </w:rPr>
        <w:t xml:space="preserve">azionista è </w:t>
      </w:r>
      <w:r w:rsidR="00BC3A4A">
        <w:rPr>
          <w:rFonts w:ascii="Times New Roman" w:hAnsi="Times New Roman"/>
          <w:sz w:val="20"/>
          <w:szCs w:val="20"/>
        </w:rPr>
        <w:t>il Comune di Marino</w:t>
      </w:r>
      <w:r w:rsidRPr="007D1305">
        <w:rPr>
          <w:rFonts w:ascii="Times New Roman" w:hAnsi="Times New Roman"/>
          <w:sz w:val="20"/>
          <w:szCs w:val="20"/>
        </w:rPr>
        <w:t xml:space="preserve">. Questo profilo fa </w:t>
      </w:r>
      <w:r w:rsidRPr="007D1305">
        <w:rPr>
          <w:rFonts w:ascii="Times New Roman" w:hAnsi="Times New Roman"/>
          <w:color w:val="000000" w:themeColor="text1"/>
          <w:sz w:val="20"/>
          <w:szCs w:val="20"/>
        </w:rPr>
        <w:t xml:space="preserve">sì che le fonti che ne regolano l’attività e il funzionamento siano molteplici e stratificate nel tempo. </w:t>
      </w:r>
      <w:r w:rsidRPr="007D1305">
        <w:rPr>
          <w:rFonts w:ascii="Times New Roman" w:hAnsi="Times New Roman"/>
          <w:sz w:val="20"/>
          <w:szCs w:val="20"/>
        </w:rPr>
        <w:t xml:space="preserve">Si riporta di seguito un elenco sintetico delle principali disposizioni regolatorie dell’operatività </w:t>
      </w:r>
      <w:r>
        <w:rPr>
          <w:rFonts w:ascii="Times New Roman" w:hAnsi="Times New Roman"/>
          <w:sz w:val="20"/>
          <w:szCs w:val="20"/>
        </w:rPr>
        <w:t>aziendale</w:t>
      </w:r>
      <w:r w:rsidRPr="007D1305">
        <w:rPr>
          <w:rFonts w:ascii="Times New Roman" w:hAnsi="Times New Roman"/>
          <w:sz w:val="20"/>
          <w:szCs w:val="20"/>
        </w:rPr>
        <w:t xml:space="preserve">: </w:t>
      </w:r>
    </w:p>
    <w:p w14:paraId="055BE04D" w14:textId="2302607A" w:rsidR="00603F3F" w:rsidRPr="007D1305" w:rsidRDefault="00603F3F"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 xml:space="preserve">L’art. 3, commi 27, 28 e 29, della Legge n. 244 del 24 dicembre 2007: “Disposizioni per la formazione del bilancio annuale e pluriennale dello Stato” (GU n. 300 del 28 </w:t>
      </w:r>
      <w:r>
        <w:rPr>
          <w:rFonts w:ascii="Times New Roman" w:hAnsi="Times New Roman"/>
          <w:sz w:val="20"/>
          <w:szCs w:val="20"/>
          <w:lang w:eastAsia="it-IT"/>
        </w:rPr>
        <w:t>d</w:t>
      </w:r>
      <w:r w:rsidRPr="007D1305">
        <w:rPr>
          <w:rFonts w:ascii="Times New Roman" w:hAnsi="Times New Roman"/>
          <w:sz w:val="20"/>
          <w:szCs w:val="20"/>
          <w:lang w:eastAsia="it-IT"/>
        </w:rPr>
        <w:t xml:space="preserve">icembre 2007); </w:t>
      </w:r>
    </w:p>
    <w:p w14:paraId="30B88C11" w14:textId="6084B718" w:rsidR="00603F3F" w:rsidRPr="007D1305" w:rsidRDefault="00603F3F"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L’art. 1, commi 611 e 612, della Legge n. 190 del 23 dicembre 2014:</w:t>
      </w:r>
      <w:r w:rsidRPr="007D1305">
        <w:rPr>
          <w:rFonts w:ascii="Times New Roman" w:hAnsi="Times New Roman"/>
          <w:sz w:val="20"/>
          <w:szCs w:val="20"/>
        </w:rPr>
        <w:t xml:space="preserve"> “</w:t>
      </w:r>
      <w:r w:rsidRPr="007D1305">
        <w:rPr>
          <w:rFonts w:ascii="Times New Roman" w:hAnsi="Times New Roman"/>
          <w:sz w:val="20"/>
          <w:szCs w:val="20"/>
          <w:lang w:eastAsia="it-IT"/>
        </w:rPr>
        <w:t xml:space="preserve">Disposizioni per la formazione del bilancio annuale e pluriennale dello Stato” (GU n. 300 del 29 </w:t>
      </w:r>
      <w:r>
        <w:rPr>
          <w:rFonts w:ascii="Times New Roman" w:hAnsi="Times New Roman"/>
          <w:sz w:val="20"/>
          <w:szCs w:val="20"/>
          <w:lang w:eastAsia="it-IT"/>
        </w:rPr>
        <w:t>d</w:t>
      </w:r>
      <w:r w:rsidRPr="007D1305">
        <w:rPr>
          <w:rFonts w:ascii="Times New Roman" w:hAnsi="Times New Roman"/>
          <w:sz w:val="20"/>
          <w:szCs w:val="20"/>
          <w:lang w:eastAsia="it-IT"/>
        </w:rPr>
        <w:t>icembre 2014);</w:t>
      </w:r>
    </w:p>
    <w:p w14:paraId="32E23474" w14:textId="019BFD11" w:rsidR="00603F3F" w:rsidRPr="007D1305" w:rsidRDefault="00603F3F"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color w:val="000000" w:themeColor="text1"/>
          <w:sz w:val="20"/>
          <w:szCs w:val="20"/>
          <w:lang w:eastAsia="it-IT"/>
        </w:rPr>
        <w:t xml:space="preserve">La Legge n. 124 del 7 </w:t>
      </w:r>
      <w:r>
        <w:rPr>
          <w:rFonts w:ascii="Times New Roman" w:hAnsi="Times New Roman"/>
          <w:color w:val="000000" w:themeColor="text1"/>
          <w:sz w:val="20"/>
          <w:szCs w:val="20"/>
          <w:lang w:eastAsia="it-IT"/>
        </w:rPr>
        <w:t>a</w:t>
      </w:r>
      <w:r w:rsidRPr="007D1305">
        <w:rPr>
          <w:rFonts w:ascii="Times New Roman" w:hAnsi="Times New Roman"/>
          <w:color w:val="000000" w:themeColor="text1"/>
          <w:sz w:val="20"/>
          <w:szCs w:val="20"/>
          <w:lang w:eastAsia="it-IT"/>
        </w:rPr>
        <w:t xml:space="preserve">gosto 2015: “Deleghe al Governo in materia di riorganizzazione delle amministrazioni pubbliche (GU n. 187 del 13 </w:t>
      </w:r>
      <w:r>
        <w:rPr>
          <w:rFonts w:ascii="Times New Roman" w:hAnsi="Times New Roman"/>
          <w:color w:val="000000" w:themeColor="text1"/>
          <w:sz w:val="20"/>
          <w:szCs w:val="20"/>
          <w:lang w:eastAsia="it-IT"/>
        </w:rPr>
        <w:t>a</w:t>
      </w:r>
      <w:r w:rsidRPr="007D1305">
        <w:rPr>
          <w:rFonts w:ascii="Times New Roman" w:hAnsi="Times New Roman"/>
          <w:color w:val="000000" w:themeColor="text1"/>
          <w:sz w:val="20"/>
          <w:szCs w:val="20"/>
          <w:lang w:eastAsia="it-IT"/>
        </w:rPr>
        <w:t>gosto 2015</w:t>
      </w:r>
      <w:r w:rsidRPr="007D1305">
        <w:rPr>
          <w:rFonts w:ascii="Times New Roman" w:hAnsi="Times New Roman"/>
          <w:sz w:val="20"/>
          <w:szCs w:val="20"/>
          <w:lang w:eastAsia="it-IT"/>
        </w:rPr>
        <w:t>);</w:t>
      </w:r>
    </w:p>
    <w:p w14:paraId="316A77CE" w14:textId="3B2881E4" w:rsidR="00603F3F" w:rsidRPr="007D1305" w:rsidRDefault="00603F3F"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 xml:space="preserve">Il Decreto Legislativo n. 50 del 18 aprile 2016: “Codice dei contratti pubblici” (GU n. 91 del 19 </w:t>
      </w:r>
      <w:r>
        <w:rPr>
          <w:rFonts w:ascii="Times New Roman" w:hAnsi="Times New Roman"/>
          <w:sz w:val="20"/>
          <w:szCs w:val="20"/>
          <w:lang w:eastAsia="it-IT"/>
        </w:rPr>
        <w:t>a</w:t>
      </w:r>
      <w:r w:rsidRPr="007D1305">
        <w:rPr>
          <w:rFonts w:ascii="Times New Roman" w:hAnsi="Times New Roman"/>
          <w:sz w:val="20"/>
          <w:szCs w:val="20"/>
          <w:lang w:eastAsia="it-IT"/>
        </w:rPr>
        <w:t>prile 2016);</w:t>
      </w:r>
    </w:p>
    <w:p w14:paraId="5C82F0FA" w14:textId="1BA3B629" w:rsidR="00603F3F" w:rsidRPr="007D1305" w:rsidRDefault="00603F3F"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7D1305">
        <w:rPr>
          <w:rFonts w:ascii="Times New Roman" w:hAnsi="Times New Roman"/>
          <w:sz w:val="20"/>
          <w:szCs w:val="20"/>
          <w:lang w:eastAsia="it-IT"/>
        </w:rPr>
        <w:t xml:space="preserve">Il Decreto Legislativo n. 175 del 19 </w:t>
      </w:r>
      <w:r>
        <w:rPr>
          <w:rFonts w:ascii="Times New Roman" w:hAnsi="Times New Roman"/>
          <w:sz w:val="20"/>
          <w:szCs w:val="20"/>
          <w:lang w:eastAsia="it-IT"/>
        </w:rPr>
        <w:t>a</w:t>
      </w:r>
      <w:r w:rsidRPr="007D1305">
        <w:rPr>
          <w:rFonts w:ascii="Times New Roman" w:hAnsi="Times New Roman"/>
          <w:sz w:val="20"/>
          <w:szCs w:val="20"/>
          <w:lang w:eastAsia="it-IT"/>
        </w:rPr>
        <w:t>gosto 2016: “Testo Unico in materia di società a partecipazione pubblica” (GU n. 210 del 8 settembre 2016);</w:t>
      </w:r>
    </w:p>
    <w:p w14:paraId="26638A2D" w14:textId="0BEABAF5" w:rsidR="00603F3F" w:rsidRPr="00FC5941" w:rsidRDefault="00FC5941"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FC5941">
        <w:rPr>
          <w:rFonts w:ascii="Times New Roman" w:hAnsi="Times New Roman"/>
          <w:sz w:val="20"/>
          <w:szCs w:val="20"/>
          <w:lang w:eastAsia="it-IT"/>
        </w:rPr>
        <w:t>La Deliberazione del Consiglio Comunale</w:t>
      </w:r>
      <w:r>
        <w:rPr>
          <w:rFonts w:ascii="Times New Roman" w:hAnsi="Times New Roman"/>
          <w:sz w:val="20"/>
          <w:szCs w:val="20"/>
          <w:lang w:eastAsia="it-IT"/>
        </w:rPr>
        <w:t xml:space="preserve"> n°9 </w:t>
      </w:r>
      <w:r w:rsidRPr="00FC5941">
        <w:rPr>
          <w:rFonts w:ascii="Times New Roman" w:hAnsi="Times New Roman"/>
          <w:sz w:val="20"/>
          <w:szCs w:val="20"/>
          <w:lang w:eastAsia="it-IT"/>
        </w:rPr>
        <w:t>del 23 marzo 2017</w:t>
      </w:r>
      <w:r w:rsidR="00603F3F" w:rsidRPr="00FC5941">
        <w:rPr>
          <w:rFonts w:ascii="Times New Roman" w:hAnsi="Times New Roman"/>
          <w:sz w:val="20"/>
          <w:szCs w:val="20"/>
          <w:lang w:eastAsia="it-IT"/>
        </w:rPr>
        <w:t>: “</w:t>
      </w:r>
      <w:r w:rsidRPr="00FC5941">
        <w:rPr>
          <w:rFonts w:ascii="Times New Roman" w:hAnsi="Times New Roman"/>
          <w:sz w:val="20"/>
          <w:szCs w:val="20"/>
          <w:lang w:eastAsia="it-IT"/>
        </w:rPr>
        <w:t>Regolamento per il Controllo Analogo della Società Partecipata del Comune di Marino</w:t>
      </w:r>
      <w:r w:rsidR="00603F3F" w:rsidRPr="00FC5941">
        <w:rPr>
          <w:rFonts w:ascii="Times New Roman" w:hAnsi="Times New Roman"/>
          <w:sz w:val="20"/>
          <w:szCs w:val="20"/>
          <w:lang w:eastAsia="it-IT"/>
        </w:rPr>
        <w:t>;</w:t>
      </w:r>
    </w:p>
    <w:p w14:paraId="6FF6DEAD" w14:textId="71ACC3AC" w:rsidR="00603F3F" w:rsidRDefault="00603F3F"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1C1EFE">
        <w:rPr>
          <w:rFonts w:ascii="Times New Roman" w:hAnsi="Times New Roman"/>
          <w:sz w:val="20"/>
          <w:szCs w:val="20"/>
          <w:lang w:eastAsia="it-IT"/>
        </w:rPr>
        <w:t xml:space="preserve">Lo Statuto sociale </w:t>
      </w:r>
      <w:r w:rsidR="001C1EFE" w:rsidRPr="001C1EFE">
        <w:rPr>
          <w:rFonts w:ascii="Times New Roman" w:hAnsi="Times New Roman"/>
          <w:sz w:val="20"/>
          <w:szCs w:val="20"/>
          <w:lang w:eastAsia="it-IT"/>
        </w:rPr>
        <w:t>(ultimo adeguamento ai</w:t>
      </w:r>
      <w:r w:rsidR="00FC5941" w:rsidRPr="001C1EFE">
        <w:rPr>
          <w:rFonts w:ascii="Times New Roman" w:hAnsi="Times New Roman"/>
          <w:sz w:val="20"/>
          <w:szCs w:val="20"/>
          <w:lang w:eastAsia="it-IT"/>
        </w:rPr>
        <w:t xml:space="preserve"> sensi </w:t>
      </w:r>
      <w:r w:rsidR="001C1EFE" w:rsidRPr="001C1EFE">
        <w:rPr>
          <w:rFonts w:ascii="Times New Roman" w:hAnsi="Times New Roman"/>
          <w:sz w:val="20"/>
          <w:szCs w:val="20"/>
          <w:lang w:eastAsia="it-IT"/>
        </w:rPr>
        <w:t xml:space="preserve">del D.Lgs 175/2016 in data </w:t>
      </w:r>
      <w:r w:rsidR="001C1EFE">
        <w:rPr>
          <w:rFonts w:ascii="Times New Roman" w:hAnsi="Times New Roman"/>
          <w:sz w:val="20"/>
          <w:szCs w:val="20"/>
          <w:lang w:eastAsia="it-IT"/>
        </w:rPr>
        <w:t>16 dicembre 2016</w:t>
      </w:r>
      <w:r w:rsidR="001C1EFE" w:rsidRPr="001C1EFE">
        <w:rPr>
          <w:rFonts w:ascii="Times New Roman" w:hAnsi="Times New Roman"/>
          <w:sz w:val="20"/>
          <w:szCs w:val="20"/>
          <w:lang w:eastAsia="it-IT"/>
        </w:rPr>
        <w:t>;</w:t>
      </w:r>
    </w:p>
    <w:p w14:paraId="78CE8504" w14:textId="2A91136C" w:rsidR="004D55D2" w:rsidRPr="00567926" w:rsidRDefault="00EB3A64" w:rsidP="003E3269">
      <w:pPr>
        <w:pStyle w:val="Paragrafoelenco"/>
        <w:widowControl w:val="0"/>
        <w:numPr>
          <w:ilvl w:val="0"/>
          <w:numId w:val="26"/>
        </w:numPr>
        <w:spacing w:after="0" w:line="276" w:lineRule="auto"/>
        <w:ind w:left="284" w:hanging="284"/>
        <w:contextualSpacing w:val="0"/>
        <w:jc w:val="both"/>
        <w:rPr>
          <w:rFonts w:ascii="Times New Roman" w:hAnsi="Times New Roman"/>
          <w:sz w:val="20"/>
          <w:szCs w:val="20"/>
          <w:lang w:eastAsia="it-IT"/>
        </w:rPr>
      </w:pPr>
      <w:r w:rsidRPr="00567926">
        <w:rPr>
          <w:rFonts w:ascii="Times New Roman" w:hAnsi="Times New Roman"/>
          <w:sz w:val="20"/>
          <w:szCs w:val="20"/>
          <w:lang w:eastAsia="it-IT"/>
        </w:rPr>
        <w:t>I</w:t>
      </w:r>
      <w:r w:rsidR="004D55D2" w:rsidRPr="00567926">
        <w:rPr>
          <w:rFonts w:ascii="Times New Roman" w:hAnsi="Times New Roman"/>
          <w:sz w:val="20"/>
          <w:szCs w:val="20"/>
          <w:lang w:eastAsia="it-IT"/>
        </w:rPr>
        <w:t xml:space="preserve"> Contratti di Servizio </w:t>
      </w:r>
      <w:r w:rsidR="00603F3F" w:rsidRPr="00567926">
        <w:rPr>
          <w:rFonts w:ascii="Times New Roman" w:hAnsi="Times New Roman"/>
          <w:sz w:val="20"/>
          <w:szCs w:val="20"/>
          <w:lang w:eastAsia="it-IT"/>
        </w:rPr>
        <w:t xml:space="preserve">tra </w:t>
      </w:r>
      <w:r w:rsidR="004D55D2" w:rsidRPr="00567926">
        <w:rPr>
          <w:rFonts w:ascii="Times New Roman" w:hAnsi="Times New Roman"/>
          <w:sz w:val="20"/>
          <w:szCs w:val="20"/>
          <w:lang w:eastAsia="it-IT"/>
        </w:rPr>
        <w:t xml:space="preserve">Comune di Marino e </w:t>
      </w:r>
      <w:r w:rsidR="004D55D2" w:rsidRPr="00567926">
        <w:rPr>
          <w:rStyle w:val="Enfasigrassetto"/>
          <w:rFonts w:ascii="Times New Roman" w:hAnsi="Times New Roman"/>
          <w:sz w:val="20"/>
          <w:szCs w:val="20"/>
          <w:bdr w:val="none" w:sz="0" w:space="0" w:color="auto" w:frame="1"/>
          <w:shd w:val="clear" w:color="auto" w:fill="FFFFFF"/>
        </w:rPr>
        <w:t>Multiservizi dei Castelli di Marino S.p.A</w:t>
      </w:r>
      <w:r w:rsidR="004D55D2" w:rsidRPr="00567926">
        <w:rPr>
          <w:rFonts w:ascii="Times New Roman" w:hAnsi="Times New Roman"/>
          <w:sz w:val="20"/>
          <w:szCs w:val="20"/>
          <w:shd w:val="clear" w:color="auto" w:fill="FFFFFF"/>
        </w:rPr>
        <w:t xml:space="preserve">. che sono </w:t>
      </w:r>
      <w:r w:rsidR="00567926" w:rsidRPr="00567926">
        <w:rPr>
          <w:rFonts w:ascii="Times New Roman" w:hAnsi="Times New Roman"/>
          <w:sz w:val="20"/>
          <w:szCs w:val="20"/>
          <w:shd w:val="clear" w:color="auto" w:fill="FFFFFF"/>
        </w:rPr>
        <w:t>elencati nella Tabella 1.</w:t>
      </w:r>
    </w:p>
    <w:p w14:paraId="0297F8A7" w14:textId="2DFB42ED" w:rsidR="00603F3F" w:rsidRDefault="00603F3F" w:rsidP="004D55D2">
      <w:pPr>
        <w:pStyle w:val="Paragrafoelenco"/>
        <w:widowControl w:val="0"/>
        <w:spacing w:after="0" w:line="276" w:lineRule="auto"/>
        <w:ind w:left="284"/>
        <w:contextualSpacing w:val="0"/>
        <w:jc w:val="both"/>
        <w:rPr>
          <w:rFonts w:ascii="Times New Roman" w:hAnsi="Times New Roman"/>
          <w:color w:val="000000"/>
          <w:sz w:val="20"/>
          <w:szCs w:val="20"/>
          <w:lang w:eastAsia="it-IT"/>
        </w:rPr>
      </w:pPr>
    </w:p>
    <w:p w14:paraId="1B2ABE5D" w14:textId="77777777" w:rsidR="00603F3F" w:rsidRPr="007A5ECB" w:rsidRDefault="00603F3F" w:rsidP="00603F3F">
      <w:pPr>
        <w:pStyle w:val="Titolo2"/>
        <w:keepNext w:val="0"/>
        <w:spacing w:line="276" w:lineRule="auto"/>
        <w:ind w:left="426" w:hanging="426"/>
        <w:rPr>
          <w:color w:val="0070C0"/>
        </w:rPr>
      </w:pPr>
      <w:bookmarkStart w:id="20" w:name="_Toc473547376"/>
      <w:bookmarkStart w:id="21" w:name="_Toc535854394"/>
      <w:r w:rsidRPr="007A5ECB">
        <w:rPr>
          <w:color w:val="0070C0"/>
        </w:rPr>
        <w:t>Il contesto esterno</w:t>
      </w:r>
      <w:bookmarkEnd w:id="20"/>
      <w:bookmarkEnd w:id="21"/>
    </w:p>
    <w:p w14:paraId="51D5C942" w14:textId="0CD8BE9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concerne l’analisi del contesto esterno, attraverso la quale ottenere le informazioni necessarie a comprendere come il rischio corruttivo possa verificarsi all’interno dell’ente per via delle specificità dell’ambiente in cui essa opera in termini di strutture territoriali e di dinamiche sociali, economiche e culturali, si rappresenta che le attività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in virtù del</w:t>
      </w:r>
      <w:r w:rsidRPr="00CD7FBE">
        <w:rPr>
          <w:rFonts w:ascii="Times New Roman" w:hAnsi="Times New Roman"/>
          <w:color w:val="000000"/>
          <w:sz w:val="20"/>
          <w:szCs w:val="20"/>
          <w:lang w:eastAsia="it-IT"/>
        </w:rPr>
        <w:t>l’esclusività della committente (</w:t>
      </w:r>
      <w:r w:rsidR="004D55D2">
        <w:rPr>
          <w:rFonts w:ascii="Times New Roman" w:hAnsi="Times New Roman"/>
          <w:color w:val="000000"/>
          <w:sz w:val="20"/>
          <w:szCs w:val="20"/>
          <w:lang w:eastAsia="it-IT"/>
        </w:rPr>
        <w:t>Comune di Marino</w:t>
      </w:r>
      <w:r w:rsidRPr="00CD7FBE">
        <w:rPr>
          <w:rFonts w:ascii="Times New Roman" w:hAnsi="Times New Roman"/>
          <w:color w:val="000000"/>
          <w:sz w:val="20"/>
          <w:szCs w:val="20"/>
          <w:lang w:eastAsia="it-IT"/>
        </w:rPr>
        <w:t xml:space="preserve">) e </w:t>
      </w:r>
      <w:r>
        <w:rPr>
          <w:rFonts w:ascii="Times New Roman" w:hAnsi="Times New Roman"/>
          <w:color w:val="000000"/>
          <w:sz w:val="20"/>
          <w:szCs w:val="20"/>
          <w:lang w:eastAsia="it-IT"/>
        </w:rPr>
        <w:t>del</w:t>
      </w:r>
      <w:r w:rsidRPr="00CD7FBE">
        <w:rPr>
          <w:rFonts w:ascii="Times New Roman" w:hAnsi="Times New Roman"/>
          <w:color w:val="000000"/>
          <w:sz w:val="20"/>
          <w:szCs w:val="20"/>
          <w:lang w:eastAsia="it-IT"/>
        </w:rPr>
        <w:t xml:space="preserve"> ruolo pervasivo che il soggetto controllante svolge nei confronti della stessa, </w:t>
      </w:r>
      <w:r w:rsidRPr="0062700F">
        <w:rPr>
          <w:rFonts w:ascii="Times New Roman" w:hAnsi="Times New Roman"/>
          <w:color w:val="000000"/>
          <w:sz w:val="20"/>
          <w:szCs w:val="20"/>
          <w:lang w:eastAsia="it-IT"/>
        </w:rPr>
        <w:t xml:space="preserve">anche in applicazione della </w:t>
      </w:r>
      <w:r w:rsidR="00F67550" w:rsidRPr="0062700F">
        <w:rPr>
          <w:rFonts w:ascii="Times New Roman" w:hAnsi="Times New Roman"/>
          <w:color w:val="000000"/>
          <w:sz w:val="20"/>
          <w:szCs w:val="20"/>
          <w:lang w:eastAsia="it-IT"/>
        </w:rPr>
        <w:t xml:space="preserve">Delibera Comunale (Controllo Analogo )   </w:t>
      </w:r>
      <w:r w:rsidRPr="0062700F">
        <w:rPr>
          <w:rFonts w:ascii="Times New Roman" w:hAnsi="Times New Roman"/>
          <w:color w:val="000000"/>
          <w:sz w:val="20"/>
          <w:szCs w:val="20"/>
          <w:lang w:eastAsia="it-IT"/>
        </w:rPr>
        <w:t>, risultano influenzabili dalle relazioni e dalle</w:t>
      </w:r>
      <w:r>
        <w:rPr>
          <w:rFonts w:ascii="Times New Roman" w:hAnsi="Times New Roman"/>
          <w:color w:val="000000"/>
          <w:sz w:val="20"/>
          <w:szCs w:val="20"/>
          <w:lang w:eastAsia="it-IT"/>
        </w:rPr>
        <w:t xml:space="preserve"> possibili influenze sia della stessa committente di cui sopra sia di altri portatori e rappresentanti di interessi esterni nella loro accezione più ampia</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Per quanto riguarda le influenze della committente, la società. pone particolare attenzione alla fase di definizione dei cosiddetti fabbisogni sia in termini di risorse umane sia di beni e servizi, che possono essere artificiosamente sopravalutati per fini clientelari e/o in cambio di promessa di voti, di denaro o altre utilità. Per una analisi più approfondita di tali eventi rischiosi che riguardano potenzialmente e in ogni caso qualsiasi soggetto esterno portatore di diversi interessi, si rimanda </w:t>
      </w:r>
      <w:r w:rsidRPr="00816AE7">
        <w:rPr>
          <w:rFonts w:ascii="Times New Roman" w:hAnsi="Times New Roman"/>
          <w:color w:val="000000"/>
          <w:sz w:val="20"/>
          <w:szCs w:val="20"/>
          <w:lang w:eastAsia="it-IT"/>
        </w:rPr>
        <w:t>agli Allegati C al presente Piano contenenti la Mappatura, Analisi e Valutazione del Rischio dei Processi e ai successivi paragrafi 7. “La mappatura, l’analisi e la valutazione del rischio dei processi” e 7.1 “L’individuazione dei macro-processi e dei processi a rischio” della Sezione II del presente Piano.</w:t>
      </w:r>
      <w:r>
        <w:rPr>
          <w:rFonts w:ascii="Times New Roman" w:hAnsi="Times New Roman"/>
          <w:color w:val="000000"/>
          <w:sz w:val="20"/>
          <w:szCs w:val="20"/>
          <w:lang w:eastAsia="it-IT"/>
        </w:rPr>
        <w:t xml:space="preserve"> </w:t>
      </w:r>
    </w:p>
    <w:p w14:paraId="7B88DC34" w14:textId="4FD8DAE2"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Per quanto attiene invece al</w:t>
      </w:r>
      <w:r w:rsidRPr="0067421A">
        <w:rPr>
          <w:rFonts w:ascii="Times New Roman" w:hAnsi="Times New Roman"/>
          <w:color w:val="000000"/>
          <w:sz w:val="20"/>
          <w:szCs w:val="20"/>
          <w:lang w:eastAsia="it-IT"/>
        </w:rPr>
        <w:t xml:space="preserve">le caratteristiche dell’ambiente nel quale </w:t>
      </w:r>
      <w:r>
        <w:rPr>
          <w:rFonts w:ascii="Times New Roman" w:hAnsi="Times New Roman"/>
          <w:color w:val="000000"/>
          <w:sz w:val="20"/>
          <w:szCs w:val="20"/>
          <w:lang w:eastAsia="it-IT"/>
        </w:rPr>
        <w:t>la società</w:t>
      </w:r>
      <w:r w:rsidRPr="0067421A">
        <w:rPr>
          <w:rFonts w:ascii="Times New Roman" w:hAnsi="Times New Roman"/>
          <w:color w:val="000000"/>
          <w:sz w:val="20"/>
          <w:szCs w:val="20"/>
          <w:lang w:eastAsia="it-IT"/>
        </w:rPr>
        <w:t xml:space="preserve"> opera, con riferimento, </w:t>
      </w:r>
      <w:r>
        <w:rPr>
          <w:rFonts w:ascii="Times New Roman" w:hAnsi="Times New Roman"/>
          <w:color w:val="000000"/>
          <w:sz w:val="20"/>
          <w:szCs w:val="20"/>
          <w:lang w:eastAsia="it-IT"/>
        </w:rPr>
        <w:t>in particolare,</w:t>
      </w:r>
      <w:r w:rsidRPr="0067421A">
        <w:rPr>
          <w:rFonts w:ascii="Times New Roman" w:hAnsi="Times New Roman"/>
          <w:color w:val="000000"/>
          <w:sz w:val="20"/>
          <w:szCs w:val="20"/>
          <w:lang w:eastAsia="it-IT"/>
        </w:rPr>
        <w:t xml:space="preserve"> a</w:t>
      </w:r>
      <w:r>
        <w:rPr>
          <w:rFonts w:ascii="Times New Roman" w:hAnsi="Times New Roman"/>
          <w:color w:val="000000"/>
          <w:sz w:val="20"/>
          <w:szCs w:val="20"/>
          <w:lang w:eastAsia="it-IT"/>
        </w:rPr>
        <w:t>lle</w:t>
      </w:r>
      <w:r w:rsidRPr="0067421A">
        <w:rPr>
          <w:rFonts w:ascii="Times New Roman" w:hAnsi="Times New Roman"/>
          <w:color w:val="000000"/>
          <w:sz w:val="20"/>
          <w:szCs w:val="20"/>
          <w:lang w:eastAsia="it-IT"/>
        </w:rPr>
        <w:t xml:space="preserve"> variabili culturali, criminologiche, sociali ed economiche del territorio</w:t>
      </w:r>
      <w:r>
        <w:rPr>
          <w:rFonts w:ascii="Times New Roman" w:hAnsi="Times New Roman"/>
          <w:color w:val="000000"/>
          <w:sz w:val="20"/>
          <w:szCs w:val="20"/>
          <w:lang w:eastAsia="it-IT"/>
        </w:rPr>
        <w:t xml:space="preserve"> che</w:t>
      </w:r>
      <w:r w:rsidRPr="0067421A">
        <w:rPr>
          <w:rFonts w:ascii="Times New Roman" w:hAnsi="Times New Roman"/>
          <w:color w:val="000000"/>
          <w:sz w:val="20"/>
          <w:szCs w:val="20"/>
          <w:lang w:eastAsia="it-IT"/>
        </w:rPr>
        <w:t xml:space="preserve"> poss</w:t>
      </w:r>
      <w:r>
        <w:rPr>
          <w:rFonts w:ascii="Times New Roman" w:hAnsi="Times New Roman"/>
          <w:color w:val="000000"/>
          <w:sz w:val="20"/>
          <w:szCs w:val="20"/>
          <w:lang w:eastAsia="it-IT"/>
        </w:rPr>
        <w:t>o</w:t>
      </w:r>
      <w:r w:rsidRPr="0067421A">
        <w:rPr>
          <w:rFonts w:ascii="Times New Roman" w:hAnsi="Times New Roman"/>
          <w:color w:val="000000"/>
          <w:sz w:val="20"/>
          <w:szCs w:val="20"/>
          <w:lang w:eastAsia="it-IT"/>
        </w:rPr>
        <w:t>no favorire il verificarsi di fenomeni corruttivi al</w:t>
      </w:r>
      <w:r>
        <w:rPr>
          <w:rFonts w:ascii="Times New Roman" w:hAnsi="Times New Roman"/>
          <w:color w:val="000000"/>
          <w:sz w:val="20"/>
          <w:szCs w:val="20"/>
          <w:lang w:eastAsia="it-IT"/>
        </w:rPr>
        <w:t xml:space="preserve"> suo</w:t>
      </w:r>
      <w:r w:rsidRPr="0067421A">
        <w:rPr>
          <w:rFonts w:ascii="Times New Roman" w:hAnsi="Times New Roman"/>
          <w:color w:val="000000"/>
          <w:sz w:val="20"/>
          <w:szCs w:val="20"/>
          <w:lang w:eastAsia="it-IT"/>
        </w:rPr>
        <w:t xml:space="preserve"> interno</w:t>
      </w:r>
      <w:r>
        <w:rPr>
          <w:rFonts w:ascii="Times New Roman" w:hAnsi="Times New Roman"/>
          <w:color w:val="000000"/>
          <w:sz w:val="20"/>
          <w:szCs w:val="20"/>
          <w:lang w:eastAsia="it-IT"/>
        </w:rPr>
        <w:t>, si rimanda ai successivi paragrafi 4.1, 4.2, 4.3 e 4.4.</w:t>
      </w:r>
    </w:p>
    <w:p w14:paraId="4C74BB5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544BE05" w14:textId="77777777" w:rsidR="00603F3F" w:rsidRPr="00811907" w:rsidRDefault="00603F3F" w:rsidP="003E3269">
      <w:pPr>
        <w:pStyle w:val="Titolo3"/>
        <w:keepNext w:val="0"/>
        <w:widowControl w:val="0"/>
        <w:numPr>
          <w:ilvl w:val="1"/>
          <w:numId w:val="31"/>
        </w:numPr>
        <w:spacing w:line="276" w:lineRule="auto"/>
        <w:ind w:left="426" w:hanging="426"/>
        <w:contextualSpacing w:val="0"/>
      </w:pPr>
      <w:bookmarkStart w:id="22" w:name="_Toc497502605"/>
      <w:bookmarkStart w:id="23" w:name="_Toc535854395"/>
      <w:r w:rsidRPr="00811907">
        <w:t>Quadro Economico</w:t>
      </w:r>
      <w:bookmarkEnd w:id="22"/>
      <w:bookmarkEnd w:id="23"/>
    </w:p>
    <w:p w14:paraId="293A9A7D" w14:textId="77777777" w:rsidR="00603F3F" w:rsidRPr="00F67550" w:rsidRDefault="00603F3F" w:rsidP="00603F3F">
      <w:pPr>
        <w:pStyle w:val="Titolo4"/>
        <w:keepNext w:val="0"/>
        <w:widowControl w:val="0"/>
        <w:rPr>
          <w:b/>
        </w:rPr>
      </w:pPr>
      <w:bookmarkStart w:id="24" w:name="_Toc497502606"/>
      <w:bookmarkStart w:id="25" w:name="_Toc535854396"/>
      <w:r w:rsidRPr="00F67550">
        <w:rPr>
          <w:b/>
          <w:lang w:val="it-IT"/>
        </w:rPr>
        <w:t>4</w:t>
      </w:r>
      <w:r w:rsidRPr="00F67550">
        <w:rPr>
          <w:b/>
        </w:rPr>
        <w:t>.1.</w:t>
      </w:r>
      <w:r w:rsidRPr="00F67550">
        <w:rPr>
          <w:b/>
          <w:lang w:val="it-IT"/>
        </w:rPr>
        <w:t>1</w:t>
      </w:r>
      <w:r w:rsidRPr="00F67550">
        <w:rPr>
          <w:b/>
        </w:rPr>
        <w:tab/>
        <w:t>Lo Scenario Economico Nazionale</w:t>
      </w:r>
      <w:bookmarkEnd w:id="24"/>
      <w:bookmarkEnd w:id="25"/>
    </w:p>
    <w:p w14:paraId="48456AA0" w14:textId="54248543" w:rsidR="00603F3F" w:rsidRDefault="00603F3F" w:rsidP="00603F3F">
      <w:pPr>
        <w:widowControl w:val="0"/>
        <w:spacing w:after="0"/>
        <w:jc w:val="both"/>
        <w:rPr>
          <w:rFonts w:ascii="Times New Roman" w:hAnsi="Times New Roman"/>
          <w:sz w:val="20"/>
          <w:szCs w:val="20"/>
          <w:lang w:eastAsia="it-IT"/>
        </w:rPr>
      </w:pPr>
      <w:r w:rsidRPr="007D1305">
        <w:rPr>
          <w:rFonts w:ascii="Times New Roman" w:hAnsi="Times New Roman"/>
          <w:sz w:val="20"/>
          <w:szCs w:val="20"/>
          <w:lang w:eastAsia="it-IT"/>
        </w:rPr>
        <w:t xml:space="preserve">Per quanto attiene </w:t>
      </w:r>
      <w:r>
        <w:rPr>
          <w:rFonts w:ascii="Times New Roman" w:hAnsi="Times New Roman"/>
          <w:sz w:val="20"/>
          <w:szCs w:val="20"/>
          <w:lang w:eastAsia="it-IT"/>
        </w:rPr>
        <w:t>al</w:t>
      </w:r>
      <w:r w:rsidRPr="007D1305">
        <w:rPr>
          <w:rFonts w:ascii="Times New Roman" w:hAnsi="Times New Roman"/>
          <w:sz w:val="20"/>
          <w:szCs w:val="20"/>
          <w:lang w:eastAsia="it-IT"/>
        </w:rPr>
        <w:t xml:space="preserve">le esigenze di questo documento, lo scenario economico nazionale dei prossimi anni presenta alcuni </w:t>
      </w:r>
      <w:r w:rsidRPr="0092397B">
        <w:rPr>
          <w:rFonts w:ascii="Times New Roman" w:hAnsi="Times New Roman"/>
          <w:i/>
          <w:sz w:val="20"/>
          <w:szCs w:val="20"/>
          <w:lang w:eastAsia="it-IT"/>
        </w:rPr>
        <w:t>trend</w:t>
      </w:r>
      <w:r w:rsidRPr="007D1305">
        <w:rPr>
          <w:rFonts w:ascii="Times New Roman" w:hAnsi="Times New Roman"/>
          <w:sz w:val="20"/>
          <w:szCs w:val="20"/>
          <w:lang w:eastAsia="it-IT"/>
        </w:rPr>
        <w:t xml:space="preserve"> di medio periodo che è utile riportare. </w:t>
      </w:r>
    </w:p>
    <w:p w14:paraId="4E7A040C" w14:textId="051CF996" w:rsidR="00603F3F" w:rsidRDefault="00603F3F" w:rsidP="00603F3F">
      <w:pPr>
        <w:widowControl w:val="0"/>
        <w:spacing w:after="0"/>
        <w:jc w:val="both"/>
        <w:rPr>
          <w:rFonts w:ascii="Times New Roman" w:hAnsi="Times New Roman"/>
          <w:sz w:val="20"/>
          <w:szCs w:val="20"/>
          <w:lang w:eastAsia="it-IT"/>
        </w:rPr>
      </w:pPr>
      <w:r w:rsidRPr="00780B4A">
        <w:rPr>
          <w:rFonts w:ascii="Times New Roman" w:hAnsi="Times New Roman"/>
          <w:sz w:val="20"/>
          <w:szCs w:val="20"/>
          <w:lang w:eastAsia="it-IT"/>
        </w:rPr>
        <w:t>In base alla revisione dei conti nazionali annuali</w:t>
      </w:r>
      <w:r>
        <w:rPr>
          <w:rStyle w:val="Rimandonotadichiusura"/>
          <w:rFonts w:ascii="Times New Roman" w:hAnsi="Times New Roman"/>
          <w:sz w:val="20"/>
          <w:szCs w:val="20"/>
          <w:lang w:eastAsia="it-IT"/>
        </w:rPr>
        <w:endnoteReference w:id="8"/>
      </w:r>
      <w:r w:rsidRPr="00780B4A">
        <w:rPr>
          <w:rFonts w:ascii="Times New Roman" w:hAnsi="Times New Roman"/>
          <w:sz w:val="20"/>
          <w:szCs w:val="20"/>
          <w:lang w:eastAsia="it-IT"/>
        </w:rPr>
        <w:t>, nel 2017 il Pil in volume è cresciuto dell’1,6 per cento (con</w:t>
      </w:r>
      <w:r>
        <w:rPr>
          <w:rFonts w:ascii="Times New Roman" w:hAnsi="Times New Roman"/>
          <w:sz w:val="20"/>
          <w:szCs w:val="20"/>
          <w:lang w:eastAsia="it-IT"/>
        </w:rPr>
        <w:t xml:space="preserve"> </w:t>
      </w:r>
      <w:r w:rsidRPr="00780B4A">
        <w:rPr>
          <w:rFonts w:ascii="Times New Roman" w:hAnsi="Times New Roman"/>
          <w:sz w:val="20"/>
          <w:szCs w:val="20"/>
          <w:lang w:eastAsia="it-IT"/>
        </w:rPr>
        <w:t>una revisione al rialzo di 0,1 punti percentuali rispetto alla stima di aprile 2018); secondo le informazioni dell’attività</w:t>
      </w:r>
      <w:r>
        <w:rPr>
          <w:rFonts w:ascii="Times New Roman" w:hAnsi="Times New Roman"/>
          <w:sz w:val="20"/>
          <w:szCs w:val="20"/>
          <w:lang w:eastAsia="it-IT"/>
        </w:rPr>
        <w:t xml:space="preserve"> </w:t>
      </w:r>
      <w:r w:rsidRPr="00780B4A">
        <w:rPr>
          <w:rFonts w:ascii="Times New Roman" w:hAnsi="Times New Roman"/>
          <w:sz w:val="20"/>
          <w:szCs w:val="20"/>
          <w:lang w:eastAsia="it-IT"/>
        </w:rPr>
        <w:t>statistica di revisione, il Pil in volume è cresciuto nel 2016 dell’1,1 per cento (la stima dello scorso aprile era</w:t>
      </w:r>
      <w:r>
        <w:rPr>
          <w:rFonts w:ascii="Times New Roman" w:hAnsi="Times New Roman"/>
          <w:sz w:val="20"/>
          <w:szCs w:val="20"/>
          <w:lang w:eastAsia="it-IT"/>
        </w:rPr>
        <w:t xml:space="preserve"> </w:t>
      </w:r>
      <w:r w:rsidRPr="00780B4A">
        <w:rPr>
          <w:rFonts w:ascii="Times New Roman" w:hAnsi="Times New Roman"/>
          <w:sz w:val="20"/>
          <w:szCs w:val="20"/>
          <w:lang w:eastAsia="it-IT"/>
        </w:rPr>
        <w:t>stata del 0,9 per cento). Inoltre: gli investimenti fissi lordi sono cresciuti in volume del 4,3 per cento, i consumi</w:t>
      </w:r>
      <w:r>
        <w:rPr>
          <w:rFonts w:ascii="Times New Roman" w:hAnsi="Times New Roman"/>
          <w:sz w:val="20"/>
          <w:szCs w:val="20"/>
          <w:lang w:eastAsia="it-IT"/>
        </w:rPr>
        <w:t xml:space="preserve"> </w:t>
      </w:r>
      <w:r w:rsidRPr="00780B4A">
        <w:rPr>
          <w:rFonts w:ascii="Times New Roman" w:hAnsi="Times New Roman"/>
          <w:sz w:val="20"/>
          <w:szCs w:val="20"/>
          <w:lang w:eastAsia="it-IT"/>
        </w:rPr>
        <w:t>finali nazionali dell’1,1 per cento</w:t>
      </w:r>
      <w:r>
        <w:rPr>
          <w:rStyle w:val="Rimandonotadichiusura"/>
          <w:rFonts w:ascii="Times New Roman" w:hAnsi="Times New Roman"/>
          <w:sz w:val="20"/>
          <w:szCs w:val="20"/>
          <w:lang w:eastAsia="it-IT"/>
        </w:rPr>
        <w:endnoteReference w:id="9"/>
      </w:r>
      <w:r w:rsidRPr="00780B4A">
        <w:rPr>
          <w:rFonts w:ascii="Times New Roman" w:hAnsi="Times New Roman"/>
          <w:sz w:val="20"/>
          <w:szCs w:val="20"/>
          <w:lang w:eastAsia="it-IT"/>
        </w:rPr>
        <w:t>, le esportazioni di beni e servizi del 5,7 per cento e le importazioni del 5,2</w:t>
      </w:r>
      <w:r>
        <w:rPr>
          <w:rFonts w:ascii="Times New Roman" w:hAnsi="Times New Roman"/>
          <w:sz w:val="20"/>
          <w:szCs w:val="20"/>
          <w:lang w:eastAsia="it-IT"/>
        </w:rPr>
        <w:t xml:space="preserve"> </w:t>
      </w:r>
      <w:r w:rsidRPr="00780B4A">
        <w:rPr>
          <w:rFonts w:ascii="Times New Roman" w:hAnsi="Times New Roman"/>
          <w:sz w:val="20"/>
          <w:szCs w:val="20"/>
          <w:lang w:eastAsia="it-IT"/>
        </w:rPr>
        <w:t xml:space="preserve">per cento (cfr. </w:t>
      </w:r>
      <w:r w:rsidRPr="00780B4A">
        <w:rPr>
          <w:rFonts w:ascii="Times New Roman" w:hAnsi="Times New Roman"/>
          <w:i/>
          <w:iCs/>
          <w:sz w:val="20"/>
          <w:szCs w:val="20"/>
          <w:lang w:eastAsia="it-IT"/>
        </w:rPr>
        <w:t xml:space="preserve">Appendice statistica </w:t>
      </w:r>
      <w:r w:rsidRPr="00780B4A">
        <w:rPr>
          <w:rFonts w:ascii="Times New Roman" w:hAnsi="Times New Roman"/>
          <w:sz w:val="20"/>
          <w:szCs w:val="20"/>
          <w:lang w:eastAsia="it-IT"/>
        </w:rPr>
        <w:t>– Tav. S1.2</w:t>
      </w:r>
      <w:r>
        <w:rPr>
          <w:rFonts w:ascii="Times New Roman" w:hAnsi="Times New Roman"/>
          <w:sz w:val="20"/>
          <w:szCs w:val="20"/>
          <w:lang w:eastAsia="it-IT"/>
        </w:rPr>
        <w:t xml:space="preserve"> al DEFR 2019-2021</w:t>
      </w:r>
      <w:r w:rsidRPr="00780B4A">
        <w:rPr>
          <w:rFonts w:ascii="Times New Roman" w:hAnsi="Times New Roman"/>
          <w:sz w:val="20"/>
          <w:szCs w:val="20"/>
          <w:lang w:eastAsia="it-IT"/>
        </w:rPr>
        <w:t>).</w:t>
      </w:r>
      <w:r>
        <w:rPr>
          <w:rFonts w:ascii="Times New Roman" w:hAnsi="Times New Roman"/>
          <w:sz w:val="20"/>
          <w:szCs w:val="20"/>
          <w:lang w:eastAsia="it-IT"/>
        </w:rPr>
        <w:t xml:space="preserve"> </w:t>
      </w:r>
      <w:r w:rsidRPr="008D3E31">
        <w:rPr>
          <w:rFonts w:ascii="Times New Roman" w:hAnsi="Times New Roman"/>
          <w:sz w:val="20"/>
          <w:szCs w:val="20"/>
          <w:lang w:eastAsia="it-IT"/>
        </w:rPr>
        <w:t>Nell’anno passato, il valore aggiunto a prezzi costanti, è aumentato del 3,7 per cento nell’industria in senso stretto,</w:t>
      </w:r>
      <w:r>
        <w:rPr>
          <w:rFonts w:ascii="Times New Roman" w:hAnsi="Times New Roman"/>
          <w:sz w:val="20"/>
          <w:szCs w:val="20"/>
          <w:lang w:eastAsia="it-IT"/>
        </w:rPr>
        <w:t xml:space="preserve"> </w:t>
      </w:r>
      <w:r w:rsidRPr="008D3E31">
        <w:rPr>
          <w:rFonts w:ascii="Times New Roman" w:hAnsi="Times New Roman"/>
          <w:sz w:val="20"/>
          <w:szCs w:val="20"/>
          <w:lang w:eastAsia="it-IT"/>
        </w:rPr>
        <w:t>dell’1,1 per cento nel settore dei servizi e dell’1,0 per cento nelle costruzioni; al contrario, si è registrato un calo</w:t>
      </w:r>
      <w:r>
        <w:rPr>
          <w:rFonts w:ascii="Times New Roman" w:hAnsi="Times New Roman"/>
          <w:sz w:val="20"/>
          <w:szCs w:val="20"/>
          <w:lang w:eastAsia="it-IT"/>
        </w:rPr>
        <w:t xml:space="preserve"> </w:t>
      </w:r>
      <w:r w:rsidRPr="008D3E31">
        <w:rPr>
          <w:rFonts w:ascii="Times New Roman" w:hAnsi="Times New Roman"/>
          <w:sz w:val="20"/>
          <w:szCs w:val="20"/>
          <w:lang w:eastAsia="it-IT"/>
        </w:rPr>
        <w:t>– attorno al 4,3 per cento – nel settore dell’agricoltura, silvicoltura e pesca.</w:t>
      </w:r>
      <w:r>
        <w:rPr>
          <w:rFonts w:ascii="Times New Roman" w:hAnsi="Times New Roman"/>
          <w:sz w:val="20"/>
          <w:szCs w:val="20"/>
          <w:lang w:eastAsia="it-IT"/>
        </w:rPr>
        <w:t xml:space="preserve"> </w:t>
      </w:r>
      <w:r w:rsidRPr="008D3E31">
        <w:rPr>
          <w:rFonts w:ascii="Times New Roman" w:hAnsi="Times New Roman"/>
          <w:sz w:val="20"/>
          <w:szCs w:val="20"/>
          <w:lang w:eastAsia="it-IT"/>
        </w:rPr>
        <w:t>Nel contesto macroeconomico nazionale del 2017, il reddito disponibile delle famiglie consumatrici ha beneficiato</w:t>
      </w:r>
      <w:r>
        <w:rPr>
          <w:rFonts w:ascii="Times New Roman" w:hAnsi="Times New Roman"/>
          <w:sz w:val="20"/>
          <w:szCs w:val="20"/>
          <w:lang w:eastAsia="it-IT"/>
        </w:rPr>
        <w:t xml:space="preserve"> </w:t>
      </w:r>
      <w:r w:rsidRPr="008D3E31">
        <w:rPr>
          <w:rFonts w:ascii="Times New Roman" w:hAnsi="Times New Roman"/>
          <w:sz w:val="20"/>
          <w:szCs w:val="20"/>
          <w:lang w:eastAsia="it-IT"/>
        </w:rPr>
        <w:t>di una progressione dell’1,6 per cento in valore nominale e dello 0,5 per cento in termini di potere d’acquisto.</w:t>
      </w:r>
      <w:r>
        <w:rPr>
          <w:rFonts w:ascii="Times New Roman" w:hAnsi="Times New Roman"/>
          <w:sz w:val="20"/>
          <w:szCs w:val="20"/>
          <w:lang w:eastAsia="it-IT"/>
        </w:rPr>
        <w:t xml:space="preserve"> </w:t>
      </w:r>
      <w:r w:rsidRPr="0096508C">
        <w:rPr>
          <w:rFonts w:ascii="Times New Roman" w:hAnsi="Times New Roman"/>
          <w:sz w:val="20"/>
          <w:szCs w:val="20"/>
          <w:lang w:eastAsia="it-IT"/>
        </w:rPr>
        <w:t>Le informazioni più recenti sulla congiuntura italiana</w:t>
      </w:r>
      <w:r>
        <w:rPr>
          <w:rStyle w:val="Rimandonotadichiusura"/>
          <w:rFonts w:ascii="Times New Roman" w:hAnsi="Times New Roman"/>
          <w:sz w:val="20"/>
          <w:szCs w:val="20"/>
          <w:lang w:eastAsia="it-IT"/>
        </w:rPr>
        <w:endnoteReference w:id="10"/>
      </w:r>
      <w:r>
        <w:rPr>
          <w:rFonts w:ascii="Times New Roman" w:hAnsi="Times New Roman"/>
          <w:sz w:val="20"/>
          <w:szCs w:val="20"/>
          <w:lang w:eastAsia="it-IT"/>
        </w:rPr>
        <w:t xml:space="preserve"> </w:t>
      </w:r>
      <w:r w:rsidRPr="0096508C">
        <w:rPr>
          <w:rFonts w:ascii="Times New Roman" w:hAnsi="Times New Roman"/>
          <w:sz w:val="20"/>
          <w:szCs w:val="20"/>
          <w:lang w:eastAsia="it-IT"/>
        </w:rPr>
        <w:t>nel corso del 2018 segnalano, dal lato della produzione:</w:t>
      </w:r>
      <w:r>
        <w:rPr>
          <w:rFonts w:ascii="Times New Roman" w:hAnsi="Times New Roman"/>
          <w:sz w:val="20"/>
          <w:szCs w:val="20"/>
          <w:lang w:eastAsia="it-IT"/>
        </w:rPr>
        <w:t xml:space="preserve"> </w:t>
      </w:r>
      <w:r w:rsidRPr="0096508C">
        <w:rPr>
          <w:rFonts w:ascii="Times New Roman" w:hAnsi="Times New Roman"/>
          <w:sz w:val="20"/>
          <w:szCs w:val="20"/>
          <w:lang w:eastAsia="it-IT"/>
        </w:rPr>
        <w:t>(</w:t>
      </w:r>
      <w:r w:rsidRPr="0096508C">
        <w:rPr>
          <w:rFonts w:ascii="Times New Roman" w:hAnsi="Times New Roman"/>
          <w:i/>
          <w:iCs/>
          <w:sz w:val="20"/>
          <w:szCs w:val="20"/>
          <w:lang w:eastAsia="it-IT"/>
        </w:rPr>
        <w:t>i</w:t>
      </w:r>
      <w:r w:rsidRPr="0096508C">
        <w:rPr>
          <w:rFonts w:ascii="Times New Roman" w:hAnsi="Times New Roman"/>
          <w:sz w:val="20"/>
          <w:szCs w:val="20"/>
          <w:lang w:eastAsia="it-IT"/>
        </w:rPr>
        <w:t>) il forte peggioramento</w:t>
      </w:r>
      <w:r>
        <w:rPr>
          <w:rStyle w:val="Rimandonotadichiusura"/>
          <w:rFonts w:ascii="Times New Roman" w:hAnsi="Times New Roman"/>
          <w:sz w:val="20"/>
          <w:szCs w:val="20"/>
          <w:lang w:eastAsia="it-IT"/>
        </w:rPr>
        <w:endnoteReference w:id="11"/>
      </w:r>
      <w:r>
        <w:rPr>
          <w:rFonts w:ascii="Times New Roman" w:hAnsi="Times New Roman"/>
          <w:sz w:val="20"/>
          <w:szCs w:val="20"/>
          <w:lang w:eastAsia="it-IT"/>
        </w:rPr>
        <w:t xml:space="preserve"> </w:t>
      </w:r>
      <w:r w:rsidRPr="0096508C">
        <w:rPr>
          <w:rFonts w:ascii="Times New Roman" w:hAnsi="Times New Roman"/>
          <w:sz w:val="20"/>
          <w:szCs w:val="20"/>
          <w:lang w:eastAsia="it-IT"/>
        </w:rPr>
        <w:t>dell’indice della produzione industriale di luglio (-1,8 per cento rispetto a giugno)</w:t>
      </w:r>
      <w:r>
        <w:rPr>
          <w:rFonts w:ascii="Times New Roman" w:hAnsi="Times New Roman"/>
          <w:sz w:val="20"/>
          <w:szCs w:val="20"/>
          <w:lang w:eastAsia="it-IT"/>
        </w:rPr>
        <w:t xml:space="preserve">, </w:t>
      </w:r>
      <w:r w:rsidRPr="0096508C">
        <w:rPr>
          <w:rFonts w:ascii="Times New Roman" w:hAnsi="Times New Roman"/>
          <w:sz w:val="20"/>
          <w:szCs w:val="20"/>
          <w:lang w:eastAsia="it-IT"/>
        </w:rPr>
        <w:t>sintesi di andamenti negativi tra tutti i comparti industriali; (</w:t>
      </w:r>
      <w:r w:rsidRPr="0096508C">
        <w:rPr>
          <w:rFonts w:ascii="Times New Roman" w:hAnsi="Times New Roman"/>
          <w:i/>
          <w:iCs/>
          <w:sz w:val="20"/>
          <w:szCs w:val="20"/>
          <w:lang w:eastAsia="it-IT"/>
        </w:rPr>
        <w:t>ii</w:t>
      </w:r>
      <w:r w:rsidRPr="0096508C">
        <w:rPr>
          <w:rFonts w:ascii="Times New Roman" w:hAnsi="Times New Roman"/>
          <w:sz w:val="20"/>
          <w:szCs w:val="20"/>
          <w:lang w:eastAsia="it-IT"/>
        </w:rPr>
        <w:t>) l’andamento positivo, nel trimestre maggio-luglio,</w:t>
      </w:r>
      <w:r>
        <w:rPr>
          <w:rFonts w:ascii="Times New Roman" w:hAnsi="Times New Roman"/>
          <w:sz w:val="20"/>
          <w:szCs w:val="20"/>
          <w:lang w:eastAsia="it-IT"/>
        </w:rPr>
        <w:t xml:space="preserve"> </w:t>
      </w:r>
      <w:r w:rsidRPr="0096508C">
        <w:rPr>
          <w:rFonts w:ascii="Times New Roman" w:hAnsi="Times New Roman"/>
          <w:sz w:val="20"/>
          <w:szCs w:val="20"/>
          <w:lang w:eastAsia="it-IT"/>
        </w:rPr>
        <w:t>degli ordinativi (+1,1 percento rispetto al trimestre precedente); (</w:t>
      </w:r>
      <w:r w:rsidRPr="0096508C">
        <w:rPr>
          <w:rFonts w:ascii="Times New Roman" w:hAnsi="Times New Roman"/>
          <w:i/>
          <w:iCs/>
          <w:sz w:val="20"/>
          <w:szCs w:val="20"/>
          <w:lang w:eastAsia="it-IT"/>
        </w:rPr>
        <w:t>iii</w:t>
      </w:r>
      <w:r w:rsidRPr="0096508C">
        <w:rPr>
          <w:rFonts w:ascii="Times New Roman" w:hAnsi="Times New Roman"/>
          <w:sz w:val="20"/>
          <w:szCs w:val="20"/>
          <w:lang w:eastAsia="it-IT"/>
        </w:rPr>
        <w:t>) l’incremento, nei primi sette mesi del 2018,</w:t>
      </w:r>
      <w:r>
        <w:rPr>
          <w:rFonts w:ascii="Times New Roman" w:hAnsi="Times New Roman"/>
          <w:sz w:val="20"/>
          <w:szCs w:val="20"/>
          <w:lang w:eastAsia="it-IT"/>
        </w:rPr>
        <w:t xml:space="preserve"> </w:t>
      </w:r>
      <w:r w:rsidRPr="0096508C">
        <w:rPr>
          <w:rFonts w:ascii="Times New Roman" w:hAnsi="Times New Roman"/>
          <w:sz w:val="20"/>
          <w:szCs w:val="20"/>
          <w:lang w:eastAsia="it-IT"/>
        </w:rPr>
        <w:t>del 4,2 per cento delle esportazioni ovvero un incremento di poco inferiore a quello osservato dal totale dei paesi</w:t>
      </w:r>
      <w:r>
        <w:rPr>
          <w:rFonts w:ascii="Times New Roman" w:hAnsi="Times New Roman"/>
          <w:sz w:val="20"/>
          <w:szCs w:val="20"/>
          <w:lang w:eastAsia="it-IT"/>
        </w:rPr>
        <w:t xml:space="preserve"> </w:t>
      </w:r>
      <w:r w:rsidRPr="0096508C">
        <w:rPr>
          <w:rFonts w:ascii="Times New Roman" w:hAnsi="Times New Roman"/>
          <w:sz w:val="20"/>
          <w:szCs w:val="20"/>
          <w:lang w:eastAsia="it-IT"/>
        </w:rPr>
        <w:t>dell’area dell’euro (+4,9 per cento);</w:t>
      </w:r>
      <w:r>
        <w:rPr>
          <w:rFonts w:ascii="Times New Roman" w:hAnsi="Times New Roman"/>
          <w:sz w:val="20"/>
          <w:szCs w:val="20"/>
          <w:lang w:eastAsia="it-IT"/>
        </w:rPr>
        <w:t xml:space="preserve"> </w:t>
      </w:r>
      <w:r w:rsidRPr="0096508C">
        <w:rPr>
          <w:rFonts w:ascii="Times New Roman" w:hAnsi="Times New Roman"/>
          <w:sz w:val="20"/>
          <w:szCs w:val="20"/>
          <w:lang w:eastAsia="it-IT"/>
        </w:rPr>
        <w:t>(</w:t>
      </w:r>
      <w:r w:rsidRPr="0096508C">
        <w:rPr>
          <w:rFonts w:ascii="Times New Roman" w:hAnsi="Times New Roman"/>
          <w:i/>
          <w:iCs/>
          <w:sz w:val="20"/>
          <w:szCs w:val="20"/>
          <w:lang w:eastAsia="it-IT"/>
        </w:rPr>
        <w:t>iv</w:t>
      </w:r>
      <w:r w:rsidRPr="0096508C">
        <w:rPr>
          <w:rFonts w:ascii="Times New Roman" w:hAnsi="Times New Roman"/>
          <w:sz w:val="20"/>
          <w:szCs w:val="20"/>
          <w:lang w:eastAsia="it-IT"/>
        </w:rPr>
        <w:t>) alcuni segnali positivi nel settore delle costruzioni: nel trimestre maggio</w:t>
      </w:r>
      <w:r>
        <w:rPr>
          <w:rFonts w:ascii="Times New Roman" w:hAnsi="Times New Roman"/>
          <w:sz w:val="20"/>
          <w:szCs w:val="20"/>
          <w:lang w:eastAsia="it-IT"/>
        </w:rPr>
        <w:t>-</w:t>
      </w:r>
      <w:r w:rsidRPr="0096508C">
        <w:rPr>
          <w:rFonts w:ascii="Times New Roman" w:hAnsi="Times New Roman"/>
          <w:sz w:val="20"/>
          <w:szCs w:val="20"/>
          <w:lang w:eastAsia="it-IT"/>
        </w:rPr>
        <w:t>luglio</w:t>
      </w:r>
      <w:r>
        <w:rPr>
          <w:rFonts w:ascii="Times New Roman" w:hAnsi="Times New Roman"/>
          <w:sz w:val="20"/>
          <w:szCs w:val="20"/>
          <w:lang w:eastAsia="it-IT"/>
        </w:rPr>
        <w:t xml:space="preserve"> </w:t>
      </w:r>
      <w:r w:rsidRPr="0096508C">
        <w:rPr>
          <w:rFonts w:ascii="Times New Roman" w:hAnsi="Times New Roman"/>
          <w:sz w:val="20"/>
          <w:szCs w:val="20"/>
          <w:lang w:eastAsia="it-IT"/>
        </w:rPr>
        <w:t>la produzione è aumentata rispetto al trimestre precedente dell’1,7 per cento e l’indice dei prezzi delle</w:t>
      </w:r>
      <w:r>
        <w:rPr>
          <w:rFonts w:ascii="Times New Roman" w:hAnsi="Times New Roman"/>
          <w:sz w:val="20"/>
          <w:szCs w:val="20"/>
          <w:lang w:eastAsia="it-IT"/>
        </w:rPr>
        <w:t xml:space="preserve"> </w:t>
      </w:r>
      <w:r w:rsidRPr="0096508C">
        <w:rPr>
          <w:rFonts w:ascii="Times New Roman" w:hAnsi="Times New Roman"/>
          <w:sz w:val="20"/>
          <w:szCs w:val="20"/>
          <w:lang w:eastAsia="it-IT"/>
        </w:rPr>
        <w:t>abitazioni (IPAB) acquistate dalle famiglie, sia per fini abitativi sia per investimento, è aumentato dello 0,8 per</w:t>
      </w:r>
      <w:r>
        <w:rPr>
          <w:rFonts w:ascii="Times New Roman" w:hAnsi="Times New Roman"/>
          <w:sz w:val="20"/>
          <w:szCs w:val="20"/>
          <w:lang w:eastAsia="it-IT"/>
        </w:rPr>
        <w:t xml:space="preserve"> </w:t>
      </w:r>
      <w:r w:rsidRPr="0096508C">
        <w:rPr>
          <w:rFonts w:ascii="Times New Roman" w:hAnsi="Times New Roman"/>
          <w:sz w:val="20"/>
          <w:szCs w:val="20"/>
          <w:lang w:eastAsia="it-IT"/>
        </w:rPr>
        <w:t>cento; (</w:t>
      </w:r>
      <w:r w:rsidRPr="0096508C">
        <w:rPr>
          <w:rFonts w:ascii="Times New Roman" w:hAnsi="Times New Roman"/>
          <w:i/>
          <w:iCs/>
          <w:sz w:val="20"/>
          <w:szCs w:val="20"/>
          <w:lang w:eastAsia="it-IT"/>
        </w:rPr>
        <w:t>v</w:t>
      </w:r>
      <w:r w:rsidRPr="0096508C">
        <w:rPr>
          <w:rFonts w:ascii="Times New Roman" w:hAnsi="Times New Roman"/>
          <w:sz w:val="20"/>
          <w:szCs w:val="20"/>
          <w:lang w:eastAsia="it-IT"/>
        </w:rPr>
        <w:t>) il ritorno alla crescita – con un aumento congiunturale ne</w:t>
      </w:r>
      <w:r>
        <w:rPr>
          <w:rFonts w:ascii="Times New Roman" w:hAnsi="Times New Roman"/>
          <w:sz w:val="20"/>
          <w:szCs w:val="20"/>
          <w:lang w:eastAsia="it-IT"/>
        </w:rPr>
        <w:t xml:space="preserve">l secondo trimestre del 2,6 percento </w:t>
      </w:r>
      <w:r w:rsidRPr="0096508C">
        <w:rPr>
          <w:rFonts w:ascii="Times New Roman" w:hAnsi="Times New Roman"/>
          <w:sz w:val="20"/>
          <w:szCs w:val="20"/>
          <w:lang w:eastAsia="it-IT"/>
        </w:rPr>
        <w:t>degli</w:t>
      </w:r>
      <w:r>
        <w:rPr>
          <w:rFonts w:ascii="Times New Roman" w:hAnsi="Times New Roman"/>
          <w:sz w:val="20"/>
          <w:szCs w:val="20"/>
          <w:lang w:eastAsia="it-IT"/>
        </w:rPr>
        <w:t xml:space="preserve"> </w:t>
      </w:r>
      <w:r w:rsidRPr="0096508C">
        <w:rPr>
          <w:rFonts w:ascii="Times New Roman" w:hAnsi="Times New Roman"/>
          <w:sz w:val="20"/>
          <w:szCs w:val="20"/>
          <w:lang w:eastAsia="it-IT"/>
        </w:rPr>
        <w:t>investimenti fissi lordi delle società non finanziarie.</w:t>
      </w:r>
      <w:r>
        <w:rPr>
          <w:rFonts w:ascii="Times New Roman" w:hAnsi="Times New Roman"/>
          <w:sz w:val="20"/>
          <w:szCs w:val="20"/>
          <w:lang w:eastAsia="it-IT"/>
        </w:rPr>
        <w:t xml:space="preserve"> </w:t>
      </w:r>
      <w:r w:rsidRPr="00AB19F4">
        <w:rPr>
          <w:rFonts w:ascii="Times New Roman" w:hAnsi="Times New Roman"/>
          <w:sz w:val="20"/>
          <w:szCs w:val="20"/>
          <w:lang w:eastAsia="it-IT"/>
        </w:rPr>
        <w:t>Relativamente alle famiglie e al mercato del lavoro, si rileva: (</w:t>
      </w:r>
      <w:r w:rsidRPr="00AB19F4">
        <w:rPr>
          <w:rFonts w:ascii="Times New Roman" w:hAnsi="Times New Roman"/>
          <w:i/>
          <w:iCs/>
          <w:sz w:val="20"/>
          <w:szCs w:val="20"/>
          <w:lang w:eastAsia="it-IT"/>
        </w:rPr>
        <w:t>a</w:t>
      </w:r>
      <w:r w:rsidRPr="00AB19F4">
        <w:rPr>
          <w:rFonts w:ascii="Times New Roman" w:hAnsi="Times New Roman"/>
          <w:sz w:val="20"/>
          <w:szCs w:val="20"/>
          <w:lang w:eastAsia="it-IT"/>
        </w:rPr>
        <w:t>) l’accelerazione, nel secondo trimestre, del reddito</w:t>
      </w:r>
      <w:r>
        <w:rPr>
          <w:rFonts w:ascii="Times New Roman" w:hAnsi="Times New Roman"/>
          <w:sz w:val="20"/>
          <w:szCs w:val="20"/>
          <w:lang w:eastAsia="it-IT"/>
        </w:rPr>
        <w:t xml:space="preserve"> </w:t>
      </w:r>
      <w:r w:rsidRPr="00AB19F4">
        <w:rPr>
          <w:rFonts w:ascii="Times New Roman" w:hAnsi="Times New Roman"/>
          <w:sz w:val="20"/>
          <w:szCs w:val="20"/>
          <w:lang w:eastAsia="it-IT"/>
        </w:rPr>
        <w:t>disponibile in termini sia nominali sia reali (con una variazione congiuntur</w:t>
      </w:r>
      <w:r>
        <w:rPr>
          <w:rFonts w:ascii="Times New Roman" w:hAnsi="Times New Roman"/>
          <w:sz w:val="20"/>
          <w:szCs w:val="20"/>
          <w:lang w:eastAsia="it-IT"/>
        </w:rPr>
        <w:t>ale pari, rispettivamente, all’</w:t>
      </w:r>
      <w:r w:rsidRPr="00AB19F4">
        <w:rPr>
          <w:rFonts w:ascii="Times New Roman" w:hAnsi="Times New Roman"/>
          <w:sz w:val="20"/>
          <w:szCs w:val="20"/>
          <w:lang w:eastAsia="it-IT"/>
        </w:rPr>
        <w:t>1,3 e</w:t>
      </w:r>
      <w:r>
        <w:rPr>
          <w:rFonts w:ascii="Times New Roman" w:hAnsi="Times New Roman"/>
          <w:sz w:val="20"/>
          <w:szCs w:val="20"/>
          <w:lang w:eastAsia="it-IT"/>
        </w:rPr>
        <w:t xml:space="preserve"> </w:t>
      </w:r>
      <w:r w:rsidRPr="00AB19F4">
        <w:rPr>
          <w:rFonts w:ascii="Times New Roman" w:hAnsi="Times New Roman"/>
          <w:sz w:val="20"/>
          <w:szCs w:val="20"/>
          <w:lang w:eastAsia="it-IT"/>
        </w:rPr>
        <w:t>all’1,2 per cento), sostenuta dagli effetti degli aumenti retributivi connessi al rinnovo dei contratti del pubblico</w:t>
      </w:r>
      <w:r>
        <w:rPr>
          <w:rFonts w:ascii="Times New Roman" w:hAnsi="Times New Roman"/>
          <w:sz w:val="20"/>
          <w:szCs w:val="20"/>
          <w:lang w:eastAsia="it-IT"/>
        </w:rPr>
        <w:t xml:space="preserve"> </w:t>
      </w:r>
      <w:r w:rsidRPr="00AB19F4">
        <w:rPr>
          <w:rFonts w:ascii="Times New Roman" w:hAnsi="Times New Roman"/>
          <w:sz w:val="20"/>
          <w:szCs w:val="20"/>
          <w:lang w:eastAsia="it-IT"/>
        </w:rPr>
        <w:t>impiego</w:t>
      </w:r>
      <w:r>
        <w:rPr>
          <w:rStyle w:val="Rimandonotadichiusura"/>
          <w:rFonts w:ascii="Times New Roman" w:hAnsi="Times New Roman"/>
          <w:sz w:val="20"/>
          <w:szCs w:val="20"/>
          <w:lang w:eastAsia="it-IT"/>
        </w:rPr>
        <w:endnoteReference w:id="12"/>
      </w:r>
      <w:r w:rsidRPr="00AB19F4">
        <w:rPr>
          <w:rFonts w:ascii="Times New Roman" w:hAnsi="Times New Roman"/>
          <w:sz w:val="20"/>
          <w:szCs w:val="20"/>
          <w:lang w:eastAsia="it-IT"/>
        </w:rPr>
        <w:t>; (</w:t>
      </w:r>
      <w:r w:rsidRPr="00AB19F4">
        <w:rPr>
          <w:rFonts w:ascii="Times New Roman" w:hAnsi="Times New Roman"/>
          <w:i/>
          <w:iCs/>
          <w:sz w:val="20"/>
          <w:szCs w:val="20"/>
          <w:lang w:eastAsia="it-IT"/>
        </w:rPr>
        <w:t>b</w:t>
      </w:r>
      <w:r w:rsidRPr="00AB19F4">
        <w:rPr>
          <w:rFonts w:ascii="Times New Roman" w:hAnsi="Times New Roman"/>
          <w:sz w:val="20"/>
          <w:szCs w:val="20"/>
          <w:lang w:eastAsia="it-IT"/>
        </w:rPr>
        <w:t>) la crescita dell’occupazione, nel mese di agosto, pari allo 0,3 per cento su base mensile (circa 69</w:t>
      </w:r>
      <w:r>
        <w:rPr>
          <w:rFonts w:ascii="Times New Roman" w:hAnsi="Times New Roman"/>
          <w:sz w:val="20"/>
          <w:szCs w:val="20"/>
          <w:lang w:eastAsia="it-IT"/>
        </w:rPr>
        <w:t xml:space="preserve"> </w:t>
      </w:r>
      <w:r w:rsidRPr="00AB19F4">
        <w:rPr>
          <w:rFonts w:ascii="Times New Roman" w:hAnsi="Times New Roman"/>
          <w:sz w:val="20"/>
          <w:szCs w:val="20"/>
          <w:lang w:eastAsia="it-IT"/>
        </w:rPr>
        <w:t>mila unità). Il tasso di occupazione ha raggiunto il 59,0 per cento</w:t>
      </w:r>
      <w:r>
        <w:rPr>
          <w:rStyle w:val="Rimandonotadichiusura"/>
          <w:rFonts w:ascii="Times New Roman" w:hAnsi="Times New Roman"/>
          <w:sz w:val="20"/>
          <w:szCs w:val="20"/>
          <w:lang w:eastAsia="it-IT"/>
        </w:rPr>
        <w:endnoteReference w:id="13"/>
      </w:r>
      <w:r w:rsidRPr="00AB19F4">
        <w:rPr>
          <w:rFonts w:ascii="Times New Roman" w:hAnsi="Times New Roman"/>
          <w:sz w:val="20"/>
          <w:szCs w:val="20"/>
          <w:lang w:eastAsia="it-IT"/>
        </w:rPr>
        <w:t xml:space="preserve"> e il tasso di disoccupazione si è attestato al</w:t>
      </w:r>
      <w:r>
        <w:rPr>
          <w:rFonts w:ascii="Times New Roman" w:hAnsi="Times New Roman"/>
          <w:sz w:val="20"/>
          <w:szCs w:val="20"/>
          <w:lang w:eastAsia="it-IT"/>
        </w:rPr>
        <w:t xml:space="preserve"> </w:t>
      </w:r>
      <w:r w:rsidRPr="00AB19F4">
        <w:rPr>
          <w:rFonts w:ascii="Times New Roman" w:hAnsi="Times New Roman"/>
          <w:sz w:val="20"/>
          <w:szCs w:val="20"/>
          <w:lang w:eastAsia="it-IT"/>
        </w:rPr>
        <w:t>9,7 per cento (0,5 punti percentuali in meno rispetto al mese precedente), riducendo così la distanza dalla media</w:t>
      </w:r>
      <w:r>
        <w:rPr>
          <w:rFonts w:ascii="Times New Roman" w:hAnsi="Times New Roman"/>
          <w:sz w:val="20"/>
          <w:szCs w:val="20"/>
          <w:lang w:eastAsia="it-IT"/>
        </w:rPr>
        <w:t xml:space="preserve"> </w:t>
      </w:r>
      <w:r w:rsidRPr="00AB19F4">
        <w:rPr>
          <w:rFonts w:ascii="Times New Roman" w:hAnsi="Times New Roman"/>
          <w:sz w:val="20"/>
          <w:szCs w:val="20"/>
          <w:lang w:eastAsia="it-IT"/>
        </w:rPr>
        <w:t>dell’area euro.</w:t>
      </w:r>
      <w:r>
        <w:rPr>
          <w:rFonts w:ascii="Times New Roman" w:hAnsi="Times New Roman"/>
          <w:sz w:val="20"/>
          <w:szCs w:val="20"/>
          <w:lang w:eastAsia="it-IT"/>
        </w:rPr>
        <w:t xml:space="preserve"> </w:t>
      </w:r>
    </w:p>
    <w:p w14:paraId="3B4CA891" w14:textId="157BAE4B" w:rsidR="00603F3F" w:rsidRDefault="00603F3F" w:rsidP="00603F3F">
      <w:pPr>
        <w:widowControl w:val="0"/>
        <w:spacing w:after="0"/>
        <w:jc w:val="both"/>
        <w:rPr>
          <w:rFonts w:ascii="Times New Roman" w:hAnsi="Times New Roman"/>
          <w:sz w:val="20"/>
        </w:rPr>
      </w:pPr>
      <w:r w:rsidRPr="008D3E31">
        <w:rPr>
          <w:rFonts w:ascii="Times New Roman" w:hAnsi="Times New Roman"/>
          <w:sz w:val="20"/>
        </w:rPr>
        <w:t>Le prospettive per l’economia nazionale, basate sugli indicatori sul clima di fiducia e sulle aspettative delle famiglie</w:t>
      </w:r>
      <w:r>
        <w:rPr>
          <w:rFonts w:ascii="Times New Roman" w:hAnsi="Times New Roman"/>
          <w:sz w:val="20"/>
        </w:rPr>
        <w:t xml:space="preserve"> </w:t>
      </w:r>
      <w:r w:rsidRPr="008D3E31">
        <w:rPr>
          <w:rFonts w:ascii="Times New Roman" w:hAnsi="Times New Roman"/>
          <w:sz w:val="20"/>
        </w:rPr>
        <w:t>e delle imprese, sono sintetizzate da un indicatore anticipatore che, nel breve termine, mantiene un profilo tale</w:t>
      </w:r>
      <w:r>
        <w:rPr>
          <w:rFonts w:ascii="Times New Roman" w:hAnsi="Times New Roman"/>
          <w:sz w:val="20"/>
        </w:rPr>
        <w:t xml:space="preserve"> </w:t>
      </w:r>
      <w:r w:rsidRPr="008D3E31">
        <w:rPr>
          <w:rFonts w:ascii="Times New Roman" w:hAnsi="Times New Roman"/>
          <w:sz w:val="20"/>
        </w:rPr>
        <w:t>da suggerire una fase di crescita economica contenuta.</w:t>
      </w:r>
    </w:p>
    <w:p w14:paraId="42ECDD6A" w14:textId="77777777" w:rsidR="00603F3F" w:rsidRDefault="00603F3F" w:rsidP="00603F3F">
      <w:pPr>
        <w:widowControl w:val="0"/>
        <w:spacing w:after="0"/>
        <w:jc w:val="both"/>
        <w:rPr>
          <w:rFonts w:ascii="Times New Roman" w:hAnsi="Times New Roman"/>
          <w:sz w:val="20"/>
          <w:szCs w:val="20"/>
          <w:lang w:eastAsia="it-IT"/>
        </w:rPr>
      </w:pPr>
    </w:p>
    <w:p w14:paraId="47DF2062" w14:textId="39ED58FE" w:rsidR="00603F3F"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Per quanto riguarda la programmazione economico-finanziaria nazionale, n</w:t>
      </w:r>
      <w:r w:rsidRPr="00FE1A86">
        <w:rPr>
          <w:rFonts w:ascii="Times New Roman" w:hAnsi="Times New Roman"/>
          <w:sz w:val="20"/>
          <w:szCs w:val="20"/>
          <w:lang w:eastAsia="it-IT"/>
        </w:rPr>
        <w:t>ella Nota di Aggiornamento al Documento di Economia e Finanza 2018</w:t>
      </w:r>
      <w:r>
        <w:rPr>
          <w:rStyle w:val="Rimandonotadichiusura"/>
          <w:rFonts w:ascii="Times New Roman" w:hAnsi="Times New Roman"/>
          <w:sz w:val="20"/>
          <w:szCs w:val="20"/>
          <w:lang w:eastAsia="it-IT"/>
        </w:rPr>
        <w:endnoteReference w:id="14"/>
      </w:r>
      <w:r w:rsidRPr="00FE1A86">
        <w:rPr>
          <w:rFonts w:ascii="Times New Roman" w:hAnsi="Times New Roman"/>
          <w:sz w:val="20"/>
          <w:szCs w:val="20"/>
          <w:lang w:eastAsia="it-IT"/>
        </w:rPr>
        <w:t xml:space="preserve"> il quadro macroeconomico</w:t>
      </w:r>
      <w:r>
        <w:rPr>
          <w:rFonts w:ascii="Times New Roman" w:hAnsi="Times New Roman"/>
          <w:sz w:val="20"/>
          <w:szCs w:val="20"/>
          <w:lang w:eastAsia="it-IT"/>
        </w:rPr>
        <w:t xml:space="preserve"> tendenziale del Governo </w:t>
      </w:r>
      <w:r w:rsidRPr="00FE1A86">
        <w:rPr>
          <w:rFonts w:ascii="Times New Roman" w:hAnsi="Times New Roman"/>
          <w:sz w:val="20"/>
          <w:szCs w:val="20"/>
          <w:lang w:eastAsia="it-IT"/>
        </w:rPr>
        <w:t>prefigura una crescita del PIL pari all’1,2 per cento nel 2018 e dello 0,9 il prossimo</w:t>
      </w:r>
      <w:r>
        <w:rPr>
          <w:rFonts w:ascii="Times New Roman" w:hAnsi="Times New Roman"/>
          <w:sz w:val="20"/>
          <w:szCs w:val="20"/>
          <w:lang w:eastAsia="it-IT"/>
        </w:rPr>
        <w:t xml:space="preserve"> 2019</w:t>
      </w:r>
      <w:r w:rsidRPr="00FE1A86">
        <w:rPr>
          <w:rFonts w:ascii="Times New Roman" w:hAnsi="Times New Roman"/>
          <w:sz w:val="20"/>
          <w:szCs w:val="20"/>
          <w:lang w:eastAsia="it-IT"/>
        </w:rPr>
        <w:t>; nel biennio 2020-2021 il</w:t>
      </w:r>
      <w:r>
        <w:rPr>
          <w:rFonts w:ascii="Times New Roman" w:hAnsi="Times New Roman"/>
          <w:sz w:val="20"/>
          <w:szCs w:val="20"/>
          <w:lang w:eastAsia="it-IT"/>
        </w:rPr>
        <w:t xml:space="preserve"> </w:t>
      </w:r>
      <w:r w:rsidRPr="00FE1A86">
        <w:rPr>
          <w:rFonts w:ascii="Times New Roman" w:hAnsi="Times New Roman"/>
          <w:sz w:val="20"/>
          <w:szCs w:val="20"/>
          <w:lang w:eastAsia="it-IT"/>
        </w:rPr>
        <w:t xml:space="preserve">PIL aumenterebbe dell’1,1 per cento (cfr. </w:t>
      </w:r>
      <w:r w:rsidRPr="00FE1A86">
        <w:rPr>
          <w:rFonts w:ascii="Times New Roman" w:hAnsi="Times New Roman"/>
          <w:i/>
          <w:iCs/>
          <w:sz w:val="20"/>
          <w:szCs w:val="20"/>
          <w:lang w:eastAsia="it-IT"/>
        </w:rPr>
        <w:t xml:space="preserve">Appendice statistica </w:t>
      </w:r>
      <w:r w:rsidRPr="00FE1A86">
        <w:rPr>
          <w:rFonts w:ascii="Times New Roman" w:hAnsi="Times New Roman"/>
          <w:sz w:val="20"/>
          <w:szCs w:val="20"/>
          <w:lang w:eastAsia="it-IT"/>
        </w:rPr>
        <w:t>– Tav. S1.3</w:t>
      </w:r>
      <w:r>
        <w:rPr>
          <w:rFonts w:ascii="Times New Roman" w:hAnsi="Times New Roman"/>
          <w:sz w:val="20"/>
          <w:szCs w:val="20"/>
          <w:lang w:eastAsia="it-IT"/>
        </w:rPr>
        <w:t xml:space="preserve"> al DEFR 2019-2021</w:t>
      </w:r>
      <w:r w:rsidRPr="00FE1A86">
        <w:rPr>
          <w:rFonts w:ascii="Times New Roman" w:hAnsi="Times New Roman"/>
          <w:sz w:val="20"/>
          <w:szCs w:val="20"/>
          <w:lang w:eastAsia="it-IT"/>
        </w:rPr>
        <w:t>).</w:t>
      </w:r>
      <w:r>
        <w:rPr>
          <w:rFonts w:ascii="Times New Roman" w:hAnsi="Times New Roman"/>
          <w:sz w:val="20"/>
          <w:szCs w:val="20"/>
          <w:lang w:eastAsia="it-IT"/>
        </w:rPr>
        <w:t xml:space="preserve"> </w:t>
      </w:r>
      <w:r w:rsidRPr="00FE1A86">
        <w:rPr>
          <w:rFonts w:ascii="Times New Roman" w:hAnsi="Times New Roman"/>
          <w:sz w:val="20"/>
          <w:szCs w:val="20"/>
          <w:lang w:eastAsia="it-IT"/>
        </w:rPr>
        <w:t>La Nota di settembre 2018 – considerata sia la riduzione delle entrate (3,9 miliardi), connessa anche con il peggioramento</w:t>
      </w:r>
      <w:r>
        <w:rPr>
          <w:rFonts w:ascii="Times New Roman" w:hAnsi="Times New Roman"/>
          <w:sz w:val="20"/>
          <w:szCs w:val="20"/>
          <w:lang w:eastAsia="it-IT"/>
        </w:rPr>
        <w:t xml:space="preserve"> </w:t>
      </w:r>
      <w:r w:rsidRPr="00FE1A86">
        <w:rPr>
          <w:rFonts w:ascii="Times New Roman" w:hAnsi="Times New Roman"/>
          <w:sz w:val="20"/>
          <w:szCs w:val="20"/>
          <w:lang w:eastAsia="it-IT"/>
        </w:rPr>
        <w:t>della crescita attesa del prodotto, sia l’aumento della spesa per interessi (1,9 miliardi) – ha rivisto,</w:t>
      </w:r>
      <w:r>
        <w:rPr>
          <w:rFonts w:ascii="Times New Roman" w:hAnsi="Times New Roman"/>
          <w:sz w:val="20"/>
          <w:szCs w:val="20"/>
          <w:lang w:eastAsia="it-IT"/>
        </w:rPr>
        <w:t xml:space="preserve"> </w:t>
      </w:r>
      <w:r w:rsidRPr="00FE1A86">
        <w:rPr>
          <w:rFonts w:ascii="Times New Roman" w:hAnsi="Times New Roman"/>
          <w:sz w:val="20"/>
          <w:szCs w:val="20"/>
          <w:lang w:eastAsia="it-IT"/>
        </w:rPr>
        <w:t>rispetto al Documento di Economia e Finanza di aprile, la stima dell’indebitamento netto tendenziale per il 2018</w:t>
      </w:r>
      <w:r>
        <w:rPr>
          <w:rFonts w:ascii="Times New Roman" w:hAnsi="Times New Roman"/>
          <w:sz w:val="20"/>
          <w:szCs w:val="20"/>
          <w:lang w:eastAsia="it-IT"/>
        </w:rPr>
        <w:t xml:space="preserve"> </w:t>
      </w:r>
      <w:r w:rsidRPr="00FE1A86">
        <w:rPr>
          <w:rFonts w:ascii="Times New Roman" w:hAnsi="Times New Roman"/>
          <w:sz w:val="20"/>
          <w:szCs w:val="20"/>
          <w:lang w:eastAsia="it-IT"/>
        </w:rPr>
        <w:t xml:space="preserve">portandola all’1,8 per cento del PIL (era stata posta all’1,6 per cento) (cfr. </w:t>
      </w:r>
      <w:r w:rsidRPr="00FE1A86">
        <w:rPr>
          <w:rFonts w:ascii="Times New Roman" w:hAnsi="Times New Roman"/>
          <w:i/>
          <w:iCs/>
          <w:sz w:val="20"/>
          <w:szCs w:val="20"/>
          <w:lang w:eastAsia="it-IT"/>
        </w:rPr>
        <w:t xml:space="preserve">Appendice statistica </w:t>
      </w:r>
      <w:r w:rsidRPr="00FE1A86">
        <w:rPr>
          <w:rFonts w:ascii="Times New Roman" w:hAnsi="Times New Roman"/>
          <w:sz w:val="20"/>
          <w:szCs w:val="20"/>
          <w:lang w:eastAsia="it-IT"/>
        </w:rPr>
        <w:t>– Tav. S1.4</w:t>
      </w:r>
      <w:r>
        <w:rPr>
          <w:rFonts w:ascii="Times New Roman" w:hAnsi="Times New Roman"/>
          <w:sz w:val="20"/>
          <w:szCs w:val="20"/>
          <w:lang w:eastAsia="it-IT"/>
        </w:rPr>
        <w:t xml:space="preserve"> al DEFR 2019-2021</w:t>
      </w:r>
      <w:r w:rsidRPr="00FE1A86">
        <w:rPr>
          <w:rFonts w:ascii="Times New Roman" w:hAnsi="Times New Roman"/>
          <w:sz w:val="20"/>
          <w:szCs w:val="20"/>
          <w:lang w:eastAsia="it-IT"/>
        </w:rPr>
        <w:t>).</w:t>
      </w:r>
      <w:r>
        <w:rPr>
          <w:rFonts w:ascii="Times New Roman" w:hAnsi="Times New Roman"/>
          <w:sz w:val="20"/>
          <w:szCs w:val="20"/>
          <w:lang w:eastAsia="it-IT"/>
        </w:rPr>
        <w:t xml:space="preserve"> </w:t>
      </w:r>
      <w:r w:rsidRPr="00FE1A86">
        <w:rPr>
          <w:rFonts w:ascii="Times New Roman" w:hAnsi="Times New Roman"/>
          <w:sz w:val="20"/>
          <w:szCs w:val="20"/>
          <w:lang w:eastAsia="it-IT"/>
        </w:rPr>
        <w:t>Considerate le nuove stime di contabilità nazionale</w:t>
      </w:r>
      <w:r>
        <w:rPr>
          <w:rStyle w:val="Rimandonotadichiusura"/>
          <w:rFonts w:ascii="Times New Roman" w:hAnsi="Times New Roman"/>
          <w:sz w:val="20"/>
          <w:szCs w:val="20"/>
          <w:lang w:eastAsia="it-IT"/>
        </w:rPr>
        <w:endnoteReference w:id="15"/>
      </w:r>
      <w:r w:rsidRPr="00FE1A86">
        <w:rPr>
          <w:rFonts w:ascii="Times New Roman" w:hAnsi="Times New Roman"/>
          <w:sz w:val="20"/>
          <w:szCs w:val="20"/>
          <w:lang w:eastAsia="it-IT"/>
        </w:rPr>
        <w:t xml:space="preserve"> relative all'ultimo triennio – in cui è stato rivisto al rialzo</w:t>
      </w:r>
      <w:r>
        <w:rPr>
          <w:rFonts w:ascii="Times New Roman" w:hAnsi="Times New Roman"/>
          <w:sz w:val="20"/>
          <w:szCs w:val="20"/>
          <w:lang w:eastAsia="it-IT"/>
        </w:rPr>
        <w:t xml:space="preserve"> </w:t>
      </w:r>
      <w:r w:rsidRPr="00FE1A86">
        <w:rPr>
          <w:rFonts w:ascii="Times New Roman" w:hAnsi="Times New Roman"/>
          <w:sz w:val="20"/>
          <w:szCs w:val="20"/>
          <w:lang w:eastAsia="it-IT"/>
        </w:rPr>
        <w:t>il PIL nominale del biennio 2016-2017 – l’indebitamento netto del 2017 è stato rivisto dal 2,3 al 2,4 per cento</w:t>
      </w:r>
      <w:r>
        <w:rPr>
          <w:rFonts w:ascii="Times New Roman" w:hAnsi="Times New Roman"/>
          <w:sz w:val="20"/>
          <w:szCs w:val="20"/>
          <w:lang w:eastAsia="it-IT"/>
        </w:rPr>
        <w:t xml:space="preserve"> </w:t>
      </w:r>
      <w:r w:rsidRPr="00FE1A86">
        <w:rPr>
          <w:rFonts w:ascii="Times New Roman" w:hAnsi="Times New Roman"/>
          <w:sz w:val="20"/>
          <w:szCs w:val="20"/>
          <w:lang w:eastAsia="it-IT"/>
        </w:rPr>
        <w:t>del prodotto e, nel 2018, nel quadro a legislazione vigente, vi sarebbe una diminuzione di oltre mezzo punto</w:t>
      </w:r>
      <w:r>
        <w:rPr>
          <w:rFonts w:ascii="Times New Roman" w:hAnsi="Times New Roman"/>
          <w:sz w:val="20"/>
          <w:szCs w:val="20"/>
          <w:lang w:eastAsia="it-IT"/>
        </w:rPr>
        <w:t xml:space="preserve"> </w:t>
      </w:r>
      <w:r w:rsidRPr="00FE1A86">
        <w:rPr>
          <w:rFonts w:ascii="Times New Roman" w:hAnsi="Times New Roman"/>
          <w:sz w:val="20"/>
          <w:szCs w:val="20"/>
          <w:lang w:eastAsia="it-IT"/>
        </w:rPr>
        <w:t>percentuale del prodotto, per effetto dell’aumento dell’avanzo primario (di 0,4 punti) e del calo della spesa per</w:t>
      </w:r>
      <w:r>
        <w:rPr>
          <w:rFonts w:ascii="Times New Roman" w:hAnsi="Times New Roman"/>
          <w:sz w:val="20"/>
          <w:szCs w:val="20"/>
          <w:lang w:eastAsia="it-IT"/>
        </w:rPr>
        <w:t xml:space="preserve"> </w:t>
      </w:r>
      <w:r w:rsidRPr="00FE1A86">
        <w:rPr>
          <w:rFonts w:ascii="Times New Roman" w:hAnsi="Times New Roman"/>
          <w:sz w:val="20"/>
          <w:szCs w:val="20"/>
          <w:lang w:eastAsia="it-IT"/>
        </w:rPr>
        <w:t>interessi (per 0,2 punti); la pressione fiscale si ridurrebbe dal 42,2 per cento del 2017 al 41,9, per effetto della</w:t>
      </w:r>
      <w:r>
        <w:rPr>
          <w:rFonts w:ascii="Times New Roman" w:hAnsi="Times New Roman"/>
          <w:sz w:val="20"/>
          <w:szCs w:val="20"/>
          <w:lang w:eastAsia="it-IT"/>
        </w:rPr>
        <w:t xml:space="preserve"> </w:t>
      </w:r>
      <w:r w:rsidRPr="00FE1A86">
        <w:rPr>
          <w:rFonts w:ascii="Times New Roman" w:hAnsi="Times New Roman"/>
          <w:sz w:val="20"/>
          <w:szCs w:val="20"/>
          <w:lang w:eastAsia="it-IT"/>
        </w:rPr>
        <w:t>dinamica delle imposte dirette.</w:t>
      </w:r>
      <w:r>
        <w:rPr>
          <w:rFonts w:ascii="Times New Roman" w:hAnsi="Times New Roman"/>
          <w:sz w:val="20"/>
          <w:szCs w:val="20"/>
          <w:lang w:eastAsia="it-IT"/>
        </w:rPr>
        <w:t xml:space="preserve"> </w:t>
      </w:r>
      <w:r w:rsidRPr="00FE1A86">
        <w:rPr>
          <w:rFonts w:ascii="Times New Roman" w:hAnsi="Times New Roman"/>
          <w:sz w:val="20"/>
          <w:szCs w:val="20"/>
          <w:lang w:eastAsia="it-IT"/>
        </w:rPr>
        <w:t>Secondo la Nota, per l’anno in corso, l’incidenza del debito sul prodotto diminuirà leggermente, dal 131,2 del</w:t>
      </w:r>
      <w:r>
        <w:rPr>
          <w:rFonts w:ascii="Times New Roman" w:hAnsi="Times New Roman"/>
          <w:sz w:val="20"/>
          <w:szCs w:val="20"/>
          <w:lang w:eastAsia="it-IT"/>
        </w:rPr>
        <w:t xml:space="preserve"> </w:t>
      </w:r>
      <w:r w:rsidRPr="00FE1A86">
        <w:rPr>
          <w:rFonts w:ascii="Times New Roman" w:hAnsi="Times New Roman"/>
          <w:sz w:val="20"/>
          <w:szCs w:val="20"/>
          <w:lang w:eastAsia="it-IT"/>
        </w:rPr>
        <w:t>2017 al 130,9 per cento. La riduzione risulterebbe inferiore di quasi un punto rispetto alle stime di aprile e ciò</w:t>
      </w:r>
      <w:r>
        <w:rPr>
          <w:rFonts w:ascii="Times New Roman" w:hAnsi="Times New Roman"/>
          <w:sz w:val="20"/>
          <w:szCs w:val="20"/>
          <w:lang w:eastAsia="it-IT"/>
        </w:rPr>
        <w:t xml:space="preserve"> </w:t>
      </w:r>
      <w:r w:rsidRPr="00FE1A86">
        <w:rPr>
          <w:rFonts w:ascii="Times New Roman" w:hAnsi="Times New Roman"/>
          <w:sz w:val="20"/>
          <w:szCs w:val="20"/>
          <w:lang w:eastAsia="it-IT"/>
        </w:rPr>
        <w:t>dipenderebbe dal più elevato indebitamento netto atteso e, soprattutto, della minore crescita del PIL nominale;</w:t>
      </w:r>
      <w:r>
        <w:rPr>
          <w:rFonts w:ascii="Times New Roman" w:hAnsi="Times New Roman"/>
          <w:sz w:val="20"/>
          <w:szCs w:val="20"/>
          <w:lang w:eastAsia="it-IT"/>
        </w:rPr>
        <w:t xml:space="preserve"> </w:t>
      </w:r>
      <w:r w:rsidRPr="00FE1A86">
        <w:rPr>
          <w:rFonts w:ascii="Times New Roman" w:hAnsi="Times New Roman"/>
          <w:sz w:val="20"/>
          <w:szCs w:val="20"/>
          <w:lang w:eastAsia="it-IT"/>
        </w:rPr>
        <w:t>inoltre, per effetto delle revisioni di contabilità sul PIL nominale del 2016 e del 2017, il peso del debito sull’economia</w:t>
      </w:r>
      <w:r>
        <w:rPr>
          <w:rFonts w:ascii="Times New Roman" w:hAnsi="Times New Roman"/>
          <w:sz w:val="20"/>
          <w:szCs w:val="20"/>
          <w:lang w:eastAsia="it-IT"/>
        </w:rPr>
        <w:t xml:space="preserve"> </w:t>
      </w:r>
      <w:r w:rsidRPr="00FE1A86">
        <w:rPr>
          <w:rFonts w:ascii="Times New Roman" w:hAnsi="Times New Roman"/>
          <w:sz w:val="20"/>
          <w:szCs w:val="20"/>
          <w:lang w:eastAsia="it-IT"/>
        </w:rPr>
        <w:t>si è ridotto di circa 0,6 punti percentuali per ciascun anno.</w:t>
      </w:r>
      <w:r>
        <w:rPr>
          <w:rFonts w:ascii="Times New Roman" w:hAnsi="Times New Roman"/>
          <w:sz w:val="20"/>
          <w:szCs w:val="20"/>
          <w:lang w:eastAsia="it-IT"/>
        </w:rPr>
        <w:t xml:space="preserve"> </w:t>
      </w:r>
      <w:r w:rsidRPr="00FE1A86">
        <w:rPr>
          <w:rFonts w:ascii="Times New Roman" w:hAnsi="Times New Roman"/>
          <w:sz w:val="20"/>
          <w:szCs w:val="20"/>
          <w:lang w:eastAsia="it-IT"/>
        </w:rPr>
        <w:t>Il quadro programmatico della Nota – per effetto dei provvedimenti della manovra 2019-2021 – innalza le previsioni</w:t>
      </w:r>
      <w:r>
        <w:rPr>
          <w:rFonts w:ascii="Times New Roman" w:hAnsi="Times New Roman"/>
          <w:sz w:val="20"/>
          <w:szCs w:val="20"/>
          <w:lang w:eastAsia="it-IT"/>
        </w:rPr>
        <w:t xml:space="preserve"> </w:t>
      </w:r>
      <w:r w:rsidRPr="00FE1A86">
        <w:rPr>
          <w:rFonts w:ascii="Times New Roman" w:hAnsi="Times New Roman"/>
          <w:sz w:val="20"/>
          <w:szCs w:val="20"/>
          <w:lang w:eastAsia="it-IT"/>
        </w:rPr>
        <w:t>di crescita</w:t>
      </w:r>
      <w:r>
        <w:rPr>
          <w:rStyle w:val="Rimandonotadichiusura"/>
          <w:rFonts w:ascii="Times New Roman" w:hAnsi="Times New Roman"/>
          <w:sz w:val="20"/>
          <w:szCs w:val="20"/>
          <w:lang w:eastAsia="it-IT"/>
        </w:rPr>
        <w:endnoteReference w:id="16"/>
      </w:r>
      <w:r w:rsidRPr="00FE1A86">
        <w:rPr>
          <w:rFonts w:ascii="Times New Roman" w:hAnsi="Times New Roman"/>
          <w:sz w:val="20"/>
          <w:szCs w:val="20"/>
          <w:lang w:eastAsia="it-IT"/>
        </w:rPr>
        <w:t xml:space="preserve"> del PIL all’1,5 per cento nel 2019, all’1,6 nel 2020 e all’1,4 nel 2021. Per gli indicatori di</w:t>
      </w:r>
      <w:r>
        <w:rPr>
          <w:rFonts w:ascii="Times New Roman" w:hAnsi="Times New Roman"/>
          <w:sz w:val="20"/>
          <w:szCs w:val="20"/>
          <w:lang w:eastAsia="it-IT"/>
        </w:rPr>
        <w:t xml:space="preserve"> </w:t>
      </w:r>
      <w:r w:rsidRPr="00FE1A86">
        <w:rPr>
          <w:rFonts w:ascii="Times New Roman" w:hAnsi="Times New Roman"/>
          <w:sz w:val="20"/>
          <w:szCs w:val="20"/>
          <w:lang w:eastAsia="it-IT"/>
        </w:rPr>
        <w:t>finanza pubblica, in questo quadro programmatico vi sarà, rispetto al quadro a legislazione vigente: un incremento</w:t>
      </w:r>
      <w:r>
        <w:rPr>
          <w:rFonts w:ascii="Times New Roman" w:hAnsi="Times New Roman"/>
          <w:sz w:val="20"/>
          <w:szCs w:val="20"/>
          <w:lang w:eastAsia="it-IT"/>
        </w:rPr>
        <w:t xml:space="preserve"> </w:t>
      </w:r>
      <w:r w:rsidRPr="00FE1A86">
        <w:rPr>
          <w:rFonts w:ascii="Times New Roman" w:hAnsi="Times New Roman"/>
          <w:sz w:val="20"/>
          <w:szCs w:val="20"/>
          <w:lang w:eastAsia="it-IT"/>
        </w:rPr>
        <w:t>dell’indebitamento netto nel 2019 pari al 2,4 per cento del PIL e, nel biennio 2020-2021, una sua riduzione,</w:t>
      </w:r>
      <w:r>
        <w:rPr>
          <w:rFonts w:ascii="Times New Roman" w:hAnsi="Times New Roman"/>
          <w:sz w:val="20"/>
          <w:szCs w:val="20"/>
          <w:lang w:eastAsia="it-IT"/>
        </w:rPr>
        <w:t xml:space="preserve"> </w:t>
      </w:r>
      <w:r w:rsidRPr="00FE1A86">
        <w:rPr>
          <w:rFonts w:ascii="Times New Roman" w:hAnsi="Times New Roman"/>
          <w:sz w:val="20"/>
          <w:szCs w:val="20"/>
          <w:lang w:eastAsia="it-IT"/>
        </w:rPr>
        <w:t>rispettivamente, al 2,1 e all’1,8 per cento per il contributo della parziale attivazione delle clausole di salvaguardia,</w:t>
      </w:r>
      <w:r>
        <w:rPr>
          <w:rFonts w:ascii="Times New Roman" w:hAnsi="Times New Roman"/>
          <w:sz w:val="20"/>
          <w:szCs w:val="20"/>
          <w:lang w:eastAsia="it-IT"/>
        </w:rPr>
        <w:t xml:space="preserve"> </w:t>
      </w:r>
      <w:r w:rsidRPr="00FE1A86">
        <w:rPr>
          <w:rFonts w:ascii="Times New Roman" w:hAnsi="Times New Roman"/>
          <w:sz w:val="20"/>
          <w:szCs w:val="20"/>
          <w:lang w:eastAsia="it-IT"/>
        </w:rPr>
        <w:t>con un aumento dell’IVA; un aumento del disavanzo strutturale</w:t>
      </w:r>
      <w:r>
        <w:rPr>
          <w:rStyle w:val="Rimandonotadichiusura"/>
          <w:rFonts w:ascii="Times New Roman" w:hAnsi="Times New Roman"/>
          <w:sz w:val="20"/>
          <w:szCs w:val="20"/>
          <w:lang w:eastAsia="it-IT"/>
        </w:rPr>
        <w:endnoteReference w:id="17"/>
      </w:r>
      <w:r w:rsidRPr="00FE1A86">
        <w:rPr>
          <w:rFonts w:ascii="Times New Roman" w:hAnsi="Times New Roman"/>
          <w:sz w:val="20"/>
          <w:szCs w:val="20"/>
          <w:lang w:eastAsia="it-IT"/>
        </w:rPr>
        <w:t xml:space="preserve"> di 0,8 punti percentuali sul prodotto l’anno</w:t>
      </w:r>
      <w:r>
        <w:rPr>
          <w:rFonts w:ascii="Times New Roman" w:hAnsi="Times New Roman"/>
          <w:sz w:val="20"/>
          <w:szCs w:val="20"/>
          <w:lang w:eastAsia="it-IT"/>
        </w:rPr>
        <w:t xml:space="preserve"> </w:t>
      </w:r>
      <w:r w:rsidRPr="00FE1A86">
        <w:rPr>
          <w:rFonts w:ascii="Times New Roman" w:hAnsi="Times New Roman"/>
          <w:sz w:val="20"/>
          <w:szCs w:val="20"/>
          <w:lang w:eastAsia="it-IT"/>
        </w:rPr>
        <w:t>prossimo, all’1,7 per cento, e l’invarianza nel biennio seguente</w:t>
      </w:r>
      <w:r>
        <w:rPr>
          <w:rStyle w:val="Rimandonotadichiusura"/>
          <w:rFonts w:ascii="Times New Roman" w:hAnsi="Times New Roman"/>
          <w:sz w:val="20"/>
          <w:szCs w:val="20"/>
          <w:lang w:eastAsia="it-IT"/>
        </w:rPr>
        <w:endnoteReference w:id="18"/>
      </w:r>
      <w:r w:rsidRPr="00FE1A86">
        <w:rPr>
          <w:rFonts w:ascii="Times New Roman" w:hAnsi="Times New Roman"/>
          <w:sz w:val="20"/>
          <w:szCs w:val="20"/>
          <w:lang w:eastAsia="it-IT"/>
        </w:rPr>
        <w:t>.</w:t>
      </w:r>
    </w:p>
    <w:p w14:paraId="2A186553" w14:textId="77777777" w:rsidR="00603F3F" w:rsidRPr="007D1305" w:rsidRDefault="00603F3F" w:rsidP="00603F3F">
      <w:pPr>
        <w:widowControl w:val="0"/>
        <w:spacing w:after="0"/>
        <w:jc w:val="both"/>
        <w:rPr>
          <w:rFonts w:ascii="Times New Roman" w:hAnsi="Times New Roman"/>
          <w:sz w:val="20"/>
          <w:szCs w:val="20"/>
          <w:lang w:eastAsia="it-IT"/>
        </w:rPr>
      </w:pPr>
    </w:p>
    <w:p w14:paraId="6E2686BA" w14:textId="7F909A08" w:rsidR="00603F3F" w:rsidRPr="00F67550" w:rsidRDefault="00603F3F" w:rsidP="00603F3F">
      <w:pPr>
        <w:pStyle w:val="Titolo4"/>
        <w:keepNext w:val="0"/>
        <w:widowControl w:val="0"/>
        <w:rPr>
          <w:b/>
          <w:lang w:val="it-IT"/>
        </w:rPr>
      </w:pPr>
      <w:bookmarkStart w:id="26" w:name="_Toc497502607"/>
      <w:bookmarkStart w:id="27" w:name="_Toc535854397"/>
      <w:r w:rsidRPr="00F67550">
        <w:rPr>
          <w:b/>
          <w:lang w:val="it-IT"/>
        </w:rPr>
        <w:t>4.1.2</w:t>
      </w:r>
      <w:r w:rsidRPr="00F67550">
        <w:rPr>
          <w:b/>
          <w:lang w:val="it-IT"/>
        </w:rPr>
        <w:tab/>
        <w:t>Lo Scenario Economico Regionale</w:t>
      </w:r>
      <w:bookmarkEnd w:id="26"/>
      <w:bookmarkEnd w:id="27"/>
      <w:r w:rsidR="00244BD2">
        <w:rPr>
          <w:b/>
          <w:lang w:val="it-IT"/>
        </w:rPr>
        <w:t xml:space="preserve"> e Comunale </w:t>
      </w:r>
    </w:p>
    <w:p w14:paraId="5842CF5D" w14:textId="7F82008D" w:rsidR="00603F3F" w:rsidRDefault="00603F3F" w:rsidP="00603F3F">
      <w:pPr>
        <w:widowControl w:val="0"/>
        <w:spacing w:after="0"/>
        <w:jc w:val="both"/>
        <w:rPr>
          <w:szCs w:val="20"/>
          <w:lang w:eastAsia="it-IT"/>
        </w:rPr>
      </w:pPr>
      <w:r w:rsidRPr="006B5E9F">
        <w:rPr>
          <w:rFonts w:ascii="Times New Roman" w:hAnsi="Times New Roman"/>
          <w:sz w:val="20"/>
          <w:szCs w:val="20"/>
          <w:lang w:eastAsia="it-IT"/>
        </w:rPr>
        <w:t>Nel Lazio, l</w:t>
      </w:r>
      <w:r>
        <w:rPr>
          <w:rFonts w:ascii="Times New Roman" w:hAnsi="Times New Roman"/>
          <w:sz w:val="20"/>
          <w:szCs w:val="20"/>
          <w:lang w:eastAsia="it-IT"/>
        </w:rPr>
        <w:t>’</w:t>
      </w:r>
      <w:r w:rsidRPr="00AE5053">
        <w:rPr>
          <w:rFonts w:ascii="Times New Roman" w:hAnsi="Times New Roman"/>
          <w:sz w:val="20"/>
          <w:szCs w:val="20"/>
          <w:lang w:eastAsia="it-IT"/>
        </w:rPr>
        <w:t>espansione dell</w:t>
      </w:r>
      <w:r>
        <w:rPr>
          <w:rFonts w:ascii="Times New Roman" w:hAnsi="Times New Roman"/>
          <w:sz w:val="20"/>
          <w:szCs w:val="20"/>
          <w:lang w:eastAsia="it-IT"/>
        </w:rPr>
        <w:t>’</w:t>
      </w:r>
      <w:r w:rsidRPr="00AE5053">
        <w:rPr>
          <w:rFonts w:ascii="Times New Roman" w:hAnsi="Times New Roman"/>
          <w:sz w:val="20"/>
          <w:szCs w:val="20"/>
          <w:lang w:eastAsia="it-IT"/>
        </w:rPr>
        <w:t>attività economica, sospinta dal favorevole andamento degli scambi con l</w:t>
      </w:r>
      <w:r>
        <w:rPr>
          <w:rFonts w:ascii="Times New Roman" w:hAnsi="Times New Roman"/>
          <w:sz w:val="20"/>
          <w:szCs w:val="20"/>
          <w:lang w:eastAsia="it-IT"/>
        </w:rPr>
        <w:t>’</w:t>
      </w:r>
      <w:r w:rsidRPr="00AE5053">
        <w:rPr>
          <w:rFonts w:ascii="Times New Roman" w:hAnsi="Times New Roman"/>
          <w:sz w:val="20"/>
          <w:szCs w:val="20"/>
          <w:lang w:eastAsia="it-IT"/>
        </w:rPr>
        <w:t>estero, è</w:t>
      </w:r>
      <w:r>
        <w:rPr>
          <w:rFonts w:ascii="Times New Roman" w:hAnsi="Times New Roman"/>
          <w:sz w:val="20"/>
          <w:szCs w:val="20"/>
          <w:lang w:eastAsia="it-IT"/>
        </w:rPr>
        <w:t xml:space="preserve"> </w:t>
      </w:r>
      <w:r w:rsidRPr="00AE5053">
        <w:rPr>
          <w:rFonts w:ascii="Times New Roman" w:hAnsi="Times New Roman"/>
          <w:sz w:val="20"/>
          <w:szCs w:val="20"/>
          <w:lang w:eastAsia="it-IT"/>
        </w:rPr>
        <w:t>proseguita – nel 2017 – in linea con l</w:t>
      </w:r>
      <w:r>
        <w:rPr>
          <w:rFonts w:ascii="Times New Roman" w:hAnsi="Times New Roman"/>
          <w:sz w:val="20"/>
          <w:szCs w:val="20"/>
          <w:lang w:eastAsia="it-IT"/>
        </w:rPr>
        <w:t>’</w:t>
      </w:r>
      <w:r w:rsidRPr="00AE5053">
        <w:rPr>
          <w:rFonts w:ascii="Times New Roman" w:hAnsi="Times New Roman"/>
          <w:sz w:val="20"/>
          <w:szCs w:val="20"/>
          <w:lang w:eastAsia="it-IT"/>
        </w:rPr>
        <w:t>andamento nazionale; gli investimenti sono aumentati e la crescita dell</w:t>
      </w:r>
      <w:r>
        <w:rPr>
          <w:rFonts w:ascii="Times New Roman" w:hAnsi="Times New Roman"/>
          <w:sz w:val="20"/>
          <w:szCs w:val="20"/>
          <w:lang w:eastAsia="it-IT"/>
        </w:rPr>
        <w:t>’</w:t>
      </w:r>
      <w:r w:rsidRPr="00AE5053">
        <w:rPr>
          <w:rFonts w:ascii="Times New Roman" w:hAnsi="Times New Roman"/>
          <w:sz w:val="20"/>
          <w:szCs w:val="20"/>
          <w:lang w:eastAsia="it-IT"/>
        </w:rPr>
        <w:t>occupazione</w:t>
      </w:r>
      <w:r>
        <w:rPr>
          <w:rFonts w:ascii="Times New Roman" w:hAnsi="Times New Roman"/>
          <w:sz w:val="20"/>
          <w:szCs w:val="20"/>
          <w:lang w:eastAsia="it-IT"/>
        </w:rPr>
        <w:t xml:space="preserve"> </w:t>
      </w:r>
      <w:r w:rsidRPr="006B5E9F">
        <w:rPr>
          <w:rFonts w:ascii="Times New Roman" w:hAnsi="Times New Roman"/>
          <w:sz w:val="20"/>
          <w:szCs w:val="20"/>
          <w:lang w:eastAsia="it-IT"/>
        </w:rPr>
        <w:t>ha favorito l</w:t>
      </w:r>
      <w:r>
        <w:rPr>
          <w:rFonts w:ascii="Times New Roman" w:hAnsi="Times New Roman"/>
          <w:sz w:val="20"/>
          <w:szCs w:val="20"/>
          <w:lang w:eastAsia="it-IT"/>
        </w:rPr>
        <w:t>’</w:t>
      </w:r>
      <w:r w:rsidRPr="00AE5053">
        <w:rPr>
          <w:rFonts w:ascii="Times New Roman" w:hAnsi="Times New Roman"/>
          <w:sz w:val="20"/>
          <w:szCs w:val="20"/>
          <w:lang w:eastAsia="it-IT"/>
        </w:rPr>
        <w:t>innalzamento dei redditi e dei consumi delle famiglie.</w:t>
      </w:r>
    </w:p>
    <w:p w14:paraId="38C28A83" w14:textId="77777777" w:rsidR="00603F3F" w:rsidRDefault="00603F3F" w:rsidP="00603F3F">
      <w:pPr>
        <w:widowControl w:val="0"/>
        <w:spacing w:after="0"/>
        <w:jc w:val="both"/>
        <w:rPr>
          <w:rFonts w:ascii="Times New Roman" w:hAnsi="Times New Roman"/>
          <w:sz w:val="20"/>
          <w:szCs w:val="20"/>
          <w:lang w:eastAsia="it-IT"/>
        </w:rPr>
      </w:pPr>
    </w:p>
    <w:p w14:paraId="4E283287" w14:textId="6F5E23DE" w:rsidR="00603F3F" w:rsidRPr="006B5E9F" w:rsidRDefault="00603F3F" w:rsidP="00603F3F">
      <w:pPr>
        <w:widowControl w:val="0"/>
        <w:spacing w:after="0"/>
        <w:jc w:val="both"/>
        <w:rPr>
          <w:rFonts w:ascii="Times New Roman" w:hAnsi="Times New Roman"/>
          <w:sz w:val="20"/>
          <w:szCs w:val="20"/>
          <w:lang w:eastAsia="it-IT"/>
        </w:rPr>
      </w:pPr>
      <w:r w:rsidRPr="006B5E9F">
        <w:rPr>
          <w:rFonts w:ascii="Times New Roman" w:hAnsi="Times New Roman"/>
          <w:sz w:val="20"/>
          <w:szCs w:val="20"/>
          <w:lang w:eastAsia="it-IT"/>
        </w:rPr>
        <w:t xml:space="preserve">Per </w:t>
      </w:r>
      <w:r>
        <w:rPr>
          <w:rFonts w:ascii="Times New Roman" w:hAnsi="Times New Roman"/>
          <w:sz w:val="20"/>
          <w:szCs w:val="20"/>
          <w:lang w:eastAsia="it-IT"/>
        </w:rPr>
        <w:t>quanto riguarda l</w:t>
      </w:r>
      <w:r w:rsidRPr="006B5E9F">
        <w:rPr>
          <w:rFonts w:ascii="Times New Roman" w:hAnsi="Times New Roman"/>
          <w:sz w:val="20"/>
          <w:szCs w:val="20"/>
          <w:lang w:eastAsia="it-IT"/>
        </w:rPr>
        <w:t>’attività economica</w:t>
      </w:r>
      <w:r>
        <w:rPr>
          <w:rFonts w:ascii="Times New Roman" w:hAnsi="Times New Roman"/>
          <w:sz w:val="20"/>
          <w:szCs w:val="20"/>
          <w:lang w:eastAsia="it-IT"/>
        </w:rPr>
        <w:t>,</w:t>
      </w:r>
      <w:r w:rsidRPr="006B5E9F">
        <w:rPr>
          <w:rFonts w:ascii="Times New Roman" w:hAnsi="Times New Roman"/>
          <w:sz w:val="20"/>
          <w:szCs w:val="20"/>
          <w:lang w:eastAsia="it-IT"/>
        </w:rPr>
        <w:t xml:space="preserve"> il miglioramento congiunturale ha interessato tutti i settori ma vi sono, ancora, segnali</w:t>
      </w:r>
      <w:r>
        <w:rPr>
          <w:rFonts w:ascii="Times New Roman" w:hAnsi="Times New Roman"/>
          <w:sz w:val="20"/>
          <w:szCs w:val="20"/>
          <w:lang w:eastAsia="it-IT"/>
        </w:rPr>
        <w:t xml:space="preserve"> </w:t>
      </w:r>
      <w:r w:rsidRPr="006B5E9F">
        <w:rPr>
          <w:rFonts w:ascii="Times New Roman" w:hAnsi="Times New Roman"/>
          <w:sz w:val="20"/>
          <w:szCs w:val="20"/>
          <w:lang w:eastAsia="it-IT"/>
        </w:rPr>
        <w:t>di debolezza nelle costruzioni; l’aumento delle esportazioni (mezzi di trasporto e farmaceutica, in particolare) ha</w:t>
      </w:r>
      <w:r>
        <w:rPr>
          <w:rFonts w:ascii="Times New Roman" w:hAnsi="Times New Roman"/>
          <w:sz w:val="20"/>
          <w:szCs w:val="20"/>
          <w:lang w:eastAsia="it-IT"/>
        </w:rPr>
        <w:t xml:space="preserve"> </w:t>
      </w:r>
      <w:r w:rsidRPr="006B5E9F">
        <w:rPr>
          <w:rFonts w:ascii="Times New Roman" w:hAnsi="Times New Roman"/>
          <w:sz w:val="20"/>
          <w:szCs w:val="20"/>
          <w:lang w:eastAsia="it-IT"/>
        </w:rPr>
        <w:t>trainato la crescita delle imprese manifatturiere; i flussi turistici e il consolidamento della spesa per i consumi</w:t>
      </w:r>
      <w:r>
        <w:rPr>
          <w:rFonts w:ascii="Times New Roman" w:hAnsi="Times New Roman"/>
          <w:sz w:val="20"/>
          <w:szCs w:val="20"/>
          <w:lang w:eastAsia="it-IT"/>
        </w:rPr>
        <w:t xml:space="preserve"> </w:t>
      </w:r>
      <w:r w:rsidRPr="006B5E9F">
        <w:rPr>
          <w:rFonts w:ascii="Times New Roman" w:hAnsi="Times New Roman"/>
          <w:sz w:val="20"/>
          <w:szCs w:val="20"/>
          <w:lang w:eastAsia="it-IT"/>
        </w:rPr>
        <w:t>hanno favorito il comparto dei servizi; l’attività di investimento si è rafforzata per le imprese di medie dimensioni,</w:t>
      </w:r>
      <w:r>
        <w:rPr>
          <w:rFonts w:ascii="Times New Roman" w:hAnsi="Times New Roman"/>
          <w:sz w:val="20"/>
          <w:szCs w:val="20"/>
          <w:lang w:eastAsia="it-IT"/>
        </w:rPr>
        <w:t xml:space="preserve"> </w:t>
      </w:r>
      <w:r w:rsidRPr="006B5E9F">
        <w:rPr>
          <w:rFonts w:ascii="Times New Roman" w:hAnsi="Times New Roman"/>
          <w:sz w:val="20"/>
          <w:szCs w:val="20"/>
          <w:lang w:eastAsia="it-IT"/>
        </w:rPr>
        <w:t>parallelamente, al dispiegarsi degli effetti sia delle politiche creditizie accomodanti sia delle politiche d’incentivazione.</w:t>
      </w:r>
      <w:r>
        <w:rPr>
          <w:rFonts w:ascii="Times New Roman" w:hAnsi="Times New Roman"/>
          <w:sz w:val="20"/>
          <w:szCs w:val="20"/>
          <w:lang w:eastAsia="it-IT"/>
        </w:rPr>
        <w:t xml:space="preserve"> </w:t>
      </w:r>
      <w:r w:rsidRPr="006B5E9F">
        <w:rPr>
          <w:rFonts w:ascii="Times New Roman" w:hAnsi="Times New Roman"/>
          <w:sz w:val="20"/>
          <w:szCs w:val="20"/>
          <w:lang w:eastAsia="it-IT"/>
        </w:rPr>
        <w:t>I prestiti alle imprese, stazionari nel corso dell’anno, sono tornati a diminuire negli ultimi mesi del 2017: le</w:t>
      </w:r>
      <w:r>
        <w:rPr>
          <w:rFonts w:ascii="Times New Roman" w:hAnsi="Times New Roman"/>
          <w:sz w:val="20"/>
          <w:szCs w:val="20"/>
          <w:lang w:eastAsia="it-IT"/>
        </w:rPr>
        <w:t xml:space="preserve"> </w:t>
      </w:r>
      <w:r w:rsidRPr="006B5E9F">
        <w:rPr>
          <w:rFonts w:ascii="Times New Roman" w:hAnsi="Times New Roman"/>
          <w:sz w:val="20"/>
          <w:szCs w:val="20"/>
          <w:lang w:eastAsia="it-IT"/>
        </w:rPr>
        <w:t>politiche di offerta delle banche sono caratterizzate da condizioni nel complesso distese ma selettive; i prestiti sono</w:t>
      </w:r>
      <w:r>
        <w:rPr>
          <w:rFonts w:ascii="Times New Roman" w:hAnsi="Times New Roman"/>
          <w:sz w:val="20"/>
          <w:szCs w:val="20"/>
          <w:lang w:eastAsia="it-IT"/>
        </w:rPr>
        <w:t xml:space="preserve"> </w:t>
      </w:r>
      <w:r w:rsidRPr="006B5E9F">
        <w:rPr>
          <w:rFonts w:ascii="Times New Roman" w:hAnsi="Times New Roman"/>
          <w:sz w:val="20"/>
          <w:szCs w:val="20"/>
          <w:lang w:eastAsia="it-IT"/>
        </w:rPr>
        <w:t>cresciuti per le aziende meno rischiose mentre si sono ridotti per quelle con livelli di rischio più elevati.</w:t>
      </w:r>
      <w:r>
        <w:rPr>
          <w:rFonts w:ascii="Times New Roman" w:hAnsi="Times New Roman"/>
          <w:sz w:val="20"/>
          <w:szCs w:val="20"/>
          <w:lang w:eastAsia="it-IT"/>
        </w:rPr>
        <w:t xml:space="preserve"> </w:t>
      </w:r>
      <w:r w:rsidRPr="006B5E9F">
        <w:rPr>
          <w:rFonts w:ascii="Times New Roman" w:hAnsi="Times New Roman"/>
          <w:sz w:val="20"/>
          <w:szCs w:val="20"/>
          <w:lang w:eastAsia="it-IT"/>
        </w:rPr>
        <w:t>Nel mercato del lavoro, nel 2017, gli occupati sono aumentati più della media nazionale. La crescita, che ha</w:t>
      </w:r>
      <w:r>
        <w:rPr>
          <w:rFonts w:ascii="Times New Roman" w:hAnsi="Times New Roman"/>
          <w:sz w:val="20"/>
          <w:szCs w:val="20"/>
          <w:lang w:eastAsia="it-IT"/>
        </w:rPr>
        <w:t xml:space="preserve"> </w:t>
      </w:r>
      <w:r w:rsidRPr="006B5E9F">
        <w:rPr>
          <w:rFonts w:ascii="Times New Roman" w:hAnsi="Times New Roman"/>
          <w:sz w:val="20"/>
          <w:szCs w:val="20"/>
          <w:lang w:eastAsia="it-IT"/>
        </w:rPr>
        <w:t>interessato tutti i comparti – come anticipato ad esclusione di quello delle cost</w:t>
      </w:r>
      <w:r>
        <w:rPr>
          <w:rFonts w:ascii="Times New Roman" w:hAnsi="Times New Roman"/>
          <w:sz w:val="20"/>
          <w:szCs w:val="20"/>
          <w:lang w:eastAsia="it-IT"/>
        </w:rPr>
        <w:t>ruzioni – è stata trainata dall’</w:t>
      </w:r>
      <w:r w:rsidRPr="006B5E9F">
        <w:rPr>
          <w:rFonts w:ascii="Times New Roman" w:hAnsi="Times New Roman"/>
          <w:sz w:val="20"/>
          <w:szCs w:val="20"/>
          <w:lang w:eastAsia="it-IT"/>
        </w:rPr>
        <w:t>occupazione</w:t>
      </w:r>
      <w:r>
        <w:rPr>
          <w:rFonts w:ascii="Times New Roman" w:hAnsi="Times New Roman"/>
          <w:sz w:val="20"/>
          <w:szCs w:val="20"/>
          <w:lang w:eastAsia="it-IT"/>
        </w:rPr>
        <w:t xml:space="preserve"> </w:t>
      </w:r>
      <w:r w:rsidRPr="006B5E9F">
        <w:rPr>
          <w:rFonts w:ascii="Times New Roman" w:hAnsi="Times New Roman"/>
          <w:sz w:val="20"/>
          <w:szCs w:val="20"/>
          <w:lang w:eastAsia="it-IT"/>
        </w:rPr>
        <w:t>dipendente, soprattutto a tempo determinato, e si è concentrata nei lavoratori meno giovani (con almeno</w:t>
      </w:r>
      <w:r>
        <w:rPr>
          <w:rFonts w:ascii="Times New Roman" w:hAnsi="Times New Roman"/>
          <w:sz w:val="20"/>
          <w:szCs w:val="20"/>
          <w:lang w:eastAsia="it-IT"/>
        </w:rPr>
        <w:t xml:space="preserve"> </w:t>
      </w:r>
      <w:r w:rsidRPr="006B5E9F">
        <w:rPr>
          <w:rFonts w:ascii="Times New Roman" w:hAnsi="Times New Roman"/>
          <w:sz w:val="20"/>
          <w:szCs w:val="20"/>
          <w:lang w:eastAsia="it-IT"/>
        </w:rPr>
        <w:t xml:space="preserve">44 anni). Il </w:t>
      </w:r>
      <w:r>
        <w:rPr>
          <w:rFonts w:ascii="Times New Roman" w:hAnsi="Times New Roman"/>
          <w:sz w:val="20"/>
          <w:szCs w:val="20"/>
          <w:lang w:eastAsia="it-IT"/>
        </w:rPr>
        <w:t>tasso di occupazione, dato dall’</w:t>
      </w:r>
      <w:r w:rsidRPr="006B5E9F">
        <w:rPr>
          <w:rFonts w:ascii="Times New Roman" w:hAnsi="Times New Roman"/>
          <w:sz w:val="20"/>
          <w:szCs w:val="20"/>
          <w:lang w:eastAsia="it-IT"/>
        </w:rPr>
        <w:t>incidenza degli occupati sulla popolazione in età da lavoro, è tornato</w:t>
      </w:r>
      <w:r>
        <w:rPr>
          <w:rFonts w:ascii="Times New Roman" w:hAnsi="Times New Roman"/>
          <w:sz w:val="20"/>
          <w:szCs w:val="20"/>
          <w:lang w:eastAsia="it-IT"/>
        </w:rPr>
        <w:t xml:space="preserve"> </w:t>
      </w:r>
      <w:r w:rsidRPr="006B5E9F">
        <w:rPr>
          <w:rFonts w:ascii="Times New Roman" w:hAnsi="Times New Roman"/>
          <w:sz w:val="20"/>
          <w:szCs w:val="20"/>
          <w:lang w:eastAsia="it-IT"/>
        </w:rPr>
        <w:t>ai livelli precedenti la crisi; il tasso di disoccupazione è ulteriormente diminuito. In merito alla situazione delle</w:t>
      </w:r>
      <w:r>
        <w:rPr>
          <w:rFonts w:ascii="Times New Roman" w:hAnsi="Times New Roman"/>
          <w:sz w:val="20"/>
          <w:szCs w:val="20"/>
          <w:lang w:eastAsia="it-IT"/>
        </w:rPr>
        <w:t xml:space="preserve"> </w:t>
      </w:r>
      <w:r w:rsidRPr="006B5E9F">
        <w:rPr>
          <w:rFonts w:ascii="Times New Roman" w:hAnsi="Times New Roman"/>
          <w:sz w:val="20"/>
          <w:szCs w:val="20"/>
          <w:lang w:eastAsia="it-IT"/>
        </w:rPr>
        <w:t>famiglie, con il miglioramento delle condizioni del mercato del lavoro, sono aumentati i redditi e – con una</w:t>
      </w:r>
    </w:p>
    <w:p w14:paraId="0327D676" w14:textId="6C3111D6" w:rsidR="00603F3F" w:rsidRDefault="00603F3F" w:rsidP="00603F3F">
      <w:pPr>
        <w:widowControl w:val="0"/>
        <w:spacing w:after="0"/>
        <w:jc w:val="both"/>
        <w:rPr>
          <w:szCs w:val="20"/>
          <w:lang w:eastAsia="it-IT"/>
        </w:rPr>
      </w:pPr>
      <w:r w:rsidRPr="006B5E9F">
        <w:rPr>
          <w:rFonts w:ascii="Times New Roman" w:hAnsi="Times New Roman"/>
          <w:sz w:val="20"/>
          <w:szCs w:val="20"/>
          <w:lang w:eastAsia="it-IT"/>
        </w:rPr>
        <w:t>dinamica più sostenuta rispetto al 2016 – i consumi.</w:t>
      </w:r>
      <w:r>
        <w:rPr>
          <w:rFonts w:ascii="Times New Roman" w:hAnsi="Times New Roman"/>
          <w:sz w:val="20"/>
          <w:szCs w:val="20"/>
          <w:lang w:eastAsia="it-IT"/>
        </w:rPr>
        <w:t xml:space="preserve"> </w:t>
      </w:r>
    </w:p>
    <w:p w14:paraId="7399C467" w14:textId="3E44F820" w:rsidR="00603F3F" w:rsidRDefault="00603F3F" w:rsidP="00603F3F">
      <w:pPr>
        <w:widowControl w:val="0"/>
        <w:spacing w:after="0"/>
        <w:jc w:val="both"/>
        <w:rPr>
          <w:szCs w:val="20"/>
          <w:lang w:eastAsia="it-IT"/>
        </w:rPr>
      </w:pPr>
    </w:p>
    <w:p w14:paraId="47E91A08" w14:textId="1EB24133" w:rsidR="00603F3F" w:rsidRDefault="00603F3F" w:rsidP="00603F3F">
      <w:pPr>
        <w:widowControl w:val="0"/>
        <w:spacing w:after="0"/>
        <w:jc w:val="both"/>
        <w:rPr>
          <w:szCs w:val="20"/>
          <w:lang w:eastAsia="it-IT"/>
        </w:rPr>
      </w:pPr>
      <w:r w:rsidRPr="0097393C">
        <w:rPr>
          <w:rFonts w:ascii="Times New Roman" w:hAnsi="Times New Roman"/>
          <w:sz w:val="20"/>
          <w:szCs w:val="20"/>
          <w:lang w:eastAsia="it-IT"/>
        </w:rPr>
        <w:t>Considerato il processo di acquisizione di tutte le informazioni pubbliche disponibili e ufficiali, e considerate le</w:t>
      </w:r>
      <w:r>
        <w:rPr>
          <w:rFonts w:ascii="Times New Roman" w:hAnsi="Times New Roman"/>
          <w:sz w:val="20"/>
          <w:szCs w:val="20"/>
          <w:lang w:eastAsia="it-IT"/>
        </w:rPr>
        <w:t xml:space="preserve"> </w:t>
      </w:r>
      <w:r w:rsidRPr="0097393C">
        <w:rPr>
          <w:rFonts w:ascii="Times New Roman" w:hAnsi="Times New Roman"/>
          <w:sz w:val="20"/>
          <w:szCs w:val="20"/>
          <w:lang w:eastAsia="it-IT"/>
        </w:rPr>
        <w:t>interdipendenze serrate – tra le economie del Mondo, dell’Eurozona, dell’Italia e della Regione Lazio – la stima</w:t>
      </w:r>
      <w:r>
        <w:rPr>
          <w:rFonts w:ascii="Times New Roman" w:hAnsi="Times New Roman"/>
          <w:sz w:val="20"/>
          <w:szCs w:val="20"/>
          <w:lang w:eastAsia="it-IT"/>
        </w:rPr>
        <w:t xml:space="preserve"> </w:t>
      </w:r>
      <w:r w:rsidRPr="0097393C">
        <w:rPr>
          <w:rFonts w:ascii="Times New Roman" w:hAnsi="Times New Roman"/>
          <w:sz w:val="20"/>
          <w:szCs w:val="20"/>
          <w:lang w:eastAsia="it-IT"/>
        </w:rPr>
        <w:t>di crescita regionale 2019-2021 è stata costruita sotto due ipotesi di base: la prima è la realizzazione per intero</w:t>
      </w:r>
      <w:r>
        <w:rPr>
          <w:rFonts w:ascii="Times New Roman" w:hAnsi="Times New Roman"/>
          <w:sz w:val="20"/>
          <w:szCs w:val="20"/>
          <w:lang w:eastAsia="it-IT"/>
        </w:rPr>
        <w:t xml:space="preserve"> </w:t>
      </w:r>
      <w:r w:rsidRPr="0097393C">
        <w:rPr>
          <w:rFonts w:ascii="Times New Roman" w:hAnsi="Times New Roman"/>
          <w:sz w:val="20"/>
          <w:szCs w:val="20"/>
          <w:lang w:eastAsia="it-IT"/>
        </w:rPr>
        <w:t xml:space="preserve">della manovra nazionale di politica economica per il triennio 2019-2021 (cfr. § 1.3 – </w:t>
      </w:r>
      <w:r w:rsidRPr="0097393C">
        <w:rPr>
          <w:rFonts w:ascii="Times New Roman" w:hAnsi="Times New Roman"/>
          <w:i/>
          <w:iCs/>
          <w:sz w:val="20"/>
          <w:szCs w:val="20"/>
          <w:lang w:eastAsia="it-IT"/>
        </w:rPr>
        <w:t>La programmazione economico-finanziaria nazionale</w:t>
      </w:r>
      <w:r w:rsidRPr="0097393C">
        <w:rPr>
          <w:rFonts w:ascii="Times New Roman" w:hAnsi="Times New Roman"/>
          <w:sz w:val="20"/>
          <w:szCs w:val="20"/>
          <w:lang w:eastAsia="it-IT"/>
        </w:rPr>
        <w:t>) e la seconda che le politiche nazionali programmate non si realizzino o si realizzino</w:t>
      </w:r>
      <w:r>
        <w:rPr>
          <w:rFonts w:ascii="Times New Roman" w:hAnsi="Times New Roman"/>
          <w:sz w:val="20"/>
          <w:szCs w:val="20"/>
          <w:lang w:eastAsia="it-IT"/>
        </w:rPr>
        <w:t xml:space="preserve"> </w:t>
      </w:r>
      <w:r w:rsidRPr="0097393C">
        <w:rPr>
          <w:rFonts w:ascii="Times New Roman" w:hAnsi="Times New Roman"/>
          <w:sz w:val="20"/>
          <w:szCs w:val="20"/>
          <w:lang w:eastAsia="it-IT"/>
        </w:rPr>
        <w:t>solo in parte.</w:t>
      </w:r>
      <w:r>
        <w:rPr>
          <w:szCs w:val="20"/>
          <w:lang w:eastAsia="it-IT"/>
        </w:rPr>
        <w:t xml:space="preserve"> </w:t>
      </w:r>
      <w:r w:rsidRPr="00FD24B8">
        <w:rPr>
          <w:rFonts w:ascii="Times New Roman" w:hAnsi="Times New Roman"/>
          <w:sz w:val="20"/>
          <w:szCs w:val="20"/>
          <w:lang w:eastAsia="it-IT"/>
        </w:rPr>
        <w:t>Nella prima ipotesi, il prodotto risulterebbe in crescita sostenuta nel primo biennio (tra l’1,3 e l’1,5 per cento)</w:t>
      </w:r>
      <w:r>
        <w:rPr>
          <w:rFonts w:ascii="Times New Roman" w:hAnsi="Times New Roman"/>
          <w:sz w:val="20"/>
          <w:szCs w:val="20"/>
          <w:lang w:eastAsia="it-IT"/>
        </w:rPr>
        <w:t xml:space="preserve"> </w:t>
      </w:r>
      <w:r w:rsidRPr="00FD24B8">
        <w:rPr>
          <w:rFonts w:ascii="Times New Roman" w:hAnsi="Times New Roman"/>
          <w:sz w:val="20"/>
          <w:szCs w:val="20"/>
          <w:lang w:eastAsia="it-IT"/>
        </w:rPr>
        <w:t>per poi proseguire con una dinamica decrescente. La dinamica inflazionistica, anch’essa in tendenziale flessione,</w:t>
      </w:r>
      <w:r>
        <w:rPr>
          <w:rFonts w:ascii="Times New Roman" w:hAnsi="Times New Roman"/>
          <w:sz w:val="20"/>
          <w:szCs w:val="20"/>
          <w:lang w:eastAsia="it-IT"/>
        </w:rPr>
        <w:t xml:space="preserve"> </w:t>
      </w:r>
      <w:r w:rsidRPr="00FD24B8">
        <w:rPr>
          <w:rFonts w:ascii="Times New Roman" w:hAnsi="Times New Roman"/>
          <w:sz w:val="20"/>
          <w:szCs w:val="20"/>
          <w:lang w:eastAsia="it-IT"/>
        </w:rPr>
        <w:t>passerebbe dall’1,0 per cento del 2019 allo 0,7 per cento del 2021; le retribuzioni lorde potranno contare, nel</w:t>
      </w:r>
      <w:r>
        <w:rPr>
          <w:rFonts w:ascii="Times New Roman" w:hAnsi="Times New Roman"/>
          <w:sz w:val="20"/>
          <w:szCs w:val="20"/>
          <w:lang w:eastAsia="it-IT"/>
        </w:rPr>
        <w:t xml:space="preserve"> </w:t>
      </w:r>
      <w:r w:rsidRPr="00FD24B8">
        <w:rPr>
          <w:rFonts w:ascii="Times New Roman" w:hAnsi="Times New Roman"/>
          <w:sz w:val="20"/>
          <w:szCs w:val="20"/>
          <w:lang w:eastAsia="it-IT"/>
        </w:rPr>
        <w:t>prossimo triennio, su incrementi ancora elevati (1,8 per cento nel 2019, 1,5 per cento nel 2020 e 0,8 per cento</w:t>
      </w:r>
      <w:r>
        <w:rPr>
          <w:rFonts w:ascii="Times New Roman" w:hAnsi="Times New Roman"/>
          <w:sz w:val="20"/>
          <w:szCs w:val="20"/>
          <w:lang w:eastAsia="it-IT"/>
        </w:rPr>
        <w:t xml:space="preserve"> </w:t>
      </w:r>
      <w:r w:rsidRPr="00FD24B8">
        <w:rPr>
          <w:rFonts w:ascii="Times New Roman" w:hAnsi="Times New Roman"/>
          <w:sz w:val="20"/>
          <w:szCs w:val="20"/>
          <w:lang w:eastAsia="it-IT"/>
        </w:rPr>
        <w:t>nel 2021) e dal lato della domanda interna, i consumi, dopo la stagnazione prevista per l’anno in corso, riprenderanno</w:t>
      </w:r>
      <w:r>
        <w:rPr>
          <w:rFonts w:ascii="Times New Roman" w:hAnsi="Times New Roman"/>
          <w:sz w:val="20"/>
          <w:szCs w:val="20"/>
          <w:lang w:eastAsia="it-IT"/>
        </w:rPr>
        <w:t xml:space="preserve"> </w:t>
      </w:r>
      <w:r w:rsidRPr="00FD24B8">
        <w:rPr>
          <w:rFonts w:ascii="Times New Roman" w:hAnsi="Times New Roman"/>
          <w:sz w:val="20"/>
          <w:szCs w:val="20"/>
          <w:lang w:eastAsia="it-IT"/>
        </w:rPr>
        <w:t>vigore già nel 2019 (+1,7 per cento) per irrobustirsi ulteriormente nel biennio successivo dove raggiungeranno</w:t>
      </w:r>
      <w:r>
        <w:rPr>
          <w:rFonts w:ascii="Times New Roman" w:hAnsi="Times New Roman"/>
          <w:sz w:val="20"/>
          <w:szCs w:val="20"/>
          <w:lang w:eastAsia="it-IT"/>
        </w:rPr>
        <w:t xml:space="preserve"> </w:t>
      </w:r>
      <w:r w:rsidRPr="00FD24B8">
        <w:rPr>
          <w:rFonts w:ascii="Times New Roman" w:hAnsi="Times New Roman"/>
          <w:sz w:val="20"/>
          <w:szCs w:val="20"/>
          <w:lang w:eastAsia="it-IT"/>
        </w:rPr>
        <w:t>il 2,9 per cento. Con la dinamica economica ancora vigorosa nel 2019 (+1,5 per cento) ma, in graduale</w:t>
      </w:r>
      <w:r>
        <w:rPr>
          <w:rFonts w:ascii="Times New Roman" w:hAnsi="Times New Roman"/>
          <w:sz w:val="20"/>
          <w:szCs w:val="20"/>
          <w:lang w:eastAsia="it-IT"/>
        </w:rPr>
        <w:t xml:space="preserve"> </w:t>
      </w:r>
      <w:r w:rsidRPr="00FD24B8">
        <w:rPr>
          <w:rFonts w:ascii="Times New Roman" w:hAnsi="Times New Roman"/>
          <w:sz w:val="20"/>
          <w:szCs w:val="20"/>
          <w:lang w:eastAsia="it-IT"/>
        </w:rPr>
        <w:t xml:space="preserve">rallentamento, il tasso di disoccupazione – </w:t>
      </w:r>
      <w:r>
        <w:rPr>
          <w:rFonts w:ascii="Times New Roman" w:hAnsi="Times New Roman"/>
          <w:sz w:val="20"/>
          <w:szCs w:val="20"/>
          <w:lang w:eastAsia="it-IT"/>
        </w:rPr>
        <w:t>che ci si attende raggiungerà</w:t>
      </w:r>
      <w:r w:rsidRPr="00FD24B8">
        <w:rPr>
          <w:rFonts w:ascii="Times New Roman" w:hAnsi="Times New Roman"/>
          <w:sz w:val="20"/>
          <w:szCs w:val="20"/>
          <w:lang w:eastAsia="it-IT"/>
        </w:rPr>
        <w:t xml:space="preserve"> un punto di minimo nel 2020 (+9,8 per cento) –</w:t>
      </w:r>
      <w:r>
        <w:rPr>
          <w:rFonts w:ascii="Times New Roman" w:hAnsi="Times New Roman"/>
          <w:sz w:val="20"/>
          <w:szCs w:val="20"/>
          <w:lang w:eastAsia="it-IT"/>
        </w:rPr>
        <w:t xml:space="preserve"> </w:t>
      </w:r>
      <w:r w:rsidRPr="00FD24B8">
        <w:rPr>
          <w:rFonts w:ascii="Times New Roman" w:hAnsi="Times New Roman"/>
          <w:sz w:val="20"/>
          <w:szCs w:val="20"/>
          <w:lang w:eastAsia="it-IT"/>
        </w:rPr>
        <w:t>tornerà a crescere a partire dal 2021.</w:t>
      </w:r>
      <w:r>
        <w:rPr>
          <w:rFonts w:ascii="Times New Roman" w:hAnsi="Times New Roman"/>
          <w:sz w:val="20"/>
          <w:szCs w:val="20"/>
          <w:lang w:eastAsia="it-IT"/>
        </w:rPr>
        <w:t xml:space="preserve"> </w:t>
      </w:r>
      <w:r w:rsidRPr="009A0EB5">
        <w:rPr>
          <w:rFonts w:ascii="Times New Roman" w:hAnsi="Times New Roman"/>
          <w:sz w:val="20"/>
          <w:szCs w:val="20"/>
          <w:lang w:eastAsia="it-IT"/>
        </w:rPr>
        <w:t>Nella seconda ipotesi, ai modesti effetti macroeconomici sull’economia regionale – assumendo, per il triennio</w:t>
      </w:r>
      <w:r>
        <w:rPr>
          <w:rFonts w:ascii="Times New Roman" w:hAnsi="Times New Roman"/>
          <w:sz w:val="20"/>
          <w:szCs w:val="20"/>
          <w:lang w:eastAsia="it-IT"/>
        </w:rPr>
        <w:t xml:space="preserve"> </w:t>
      </w:r>
      <w:r w:rsidRPr="009A0EB5">
        <w:rPr>
          <w:rFonts w:ascii="Times New Roman" w:hAnsi="Times New Roman"/>
          <w:sz w:val="20"/>
          <w:szCs w:val="20"/>
          <w:lang w:eastAsia="it-IT"/>
        </w:rPr>
        <w:t>2019-2021, solo la sterilizzazione degli aumenti dell’IVA previsti dalle clausole di salvaguardia – si sommeranno</w:t>
      </w:r>
      <w:r>
        <w:rPr>
          <w:rFonts w:ascii="Times New Roman" w:hAnsi="Times New Roman"/>
          <w:sz w:val="20"/>
          <w:szCs w:val="20"/>
          <w:lang w:eastAsia="it-IT"/>
        </w:rPr>
        <w:t xml:space="preserve"> </w:t>
      </w:r>
      <w:r w:rsidRPr="009A0EB5">
        <w:rPr>
          <w:rFonts w:ascii="Times New Roman" w:hAnsi="Times New Roman"/>
          <w:sz w:val="20"/>
          <w:szCs w:val="20"/>
          <w:lang w:eastAsia="it-IT"/>
        </w:rPr>
        <w:t>quelli della manovra regionale 2019-2021 che garantirà un tasso medio annuo di crescita del PIL (a prezzi concatenati,</w:t>
      </w:r>
      <w:r>
        <w:rPr>
          <w:rFonts w:ascii="Times New Roman" w:hAnsi="Times New Roman"/>
          <w:sz w:val="20"/>
          <w:szCs w:val="20"/>
          <w:lang w:eastAsia="it-IT"/>
        </w:rPr>
        <w:t xml:space="preserve"> </w:t>
      </w:r>
      <w:r w:rsidRPr="009A0EB5">
        <w:rPr>
          <w:rFonts w:ascii="Times New Roman" w:hAnsi="Times New Roman"/>
          <w:sz w:val="20"/>
          <w:szCs w:val="20"/>
          <w:lang w:eastAsia="it-IT"/>
        </w:rPr>
        <w:t>base 2010) compreso tra lo 0,6 e lo 0,8 per cento con una variazione dell’indice generale dei prezzi al</w:t>
      </w:r>
      <w:r>
        <w:rPr>
          <w:rFonts w:ascii="Times New Roman" w:hAnsi="Times New Roman"/>
          <w:sz w:val="20"/>
          <w:szCs w:val="20"/>
          <w:lang w:eastAsia="it-IT"/>
        </w:rPr>
        <w:t xml:space="preserve"> </w:t>
      </w:r>
      <w:r w:rsidRPr="009A0EB5">
        <w:rPr>
          <w:rFonts w:ascii="Times New Roman" w:hAnsi="Times New Roman"/>
          <w:sz w:val="20"/>
          <w:szCs w:val="20"/>
          <w:lang w:eastAsia="it-IT"/>
        </w:rPr>
        <w:t xml:space="preserve">consumo per la collettività in oscillazione in un </w:t>
      </w:r>
      <w:r w:rsidRPr="009A0EB5">
        <w:rPr>
          <w:rFonts w:ascii="Times New Roman" w:hAnsi="Times New Roman"/>
          <w:i/>
          <w:iCs/>
          <w:sz w:val="20"/>
          <w:szCs w:val="20"/>
          <w:lang w:eastAsia="it-IT"/>
        </w:rPr>
        <w:t xml:space="preserve">range </w:t>
      </w:r>
      <w:r w:rsidRPr="009A0EB5">
        <w:rPr>
          <w:rFonts w:ascii="Times New Roman" w:hAnsi="Times New Roman"/>
          <w:sz w:val="20"/>
          <w:szCs w:val="20"/>
          <w:lang w:eastAsia="it-IT"/>
        </w:rPr>
        <w:t>tra lo 0,3 e l’1,0 per cento.</w:t>
      </w:r>
      <w:r>
        <w:rPr>
          <w:rFonts w:ascii="Times New Roman" w:hAnsi="Times New Roman"/>
          <w:sz w:val="20"/>
          <w:szCs w:val="20"/>
          <w:lang w:eastAsia="it-IT"/>
        </w:rPr>
        <w:t xml:space="preserve"> </w:t>
      </w:r>
    </w:p>
    <w:p w14:paraId="58E4F40D" w14:textId="24075558" w:rsidR="00603F3F" w:rsidRDefault="00603F3F" w:rsidP="00603F3F">
      <w:pPr>
        <w:widowControl w:val="0"/>
        <w:spacing w:after="0"/>
        <w:jc w:val="both"/>
        <w:rPr>
          <w:szCs w:val="20"/>
          <w:lang w:eastAsia="it-IT"/>
        </w:rPr>
      </w:pPr>
    </w:p>
    <w:p w14:paraId="69A881CB" w14:textId="3012385E" w:rsidR="00603F3F" w:rsidRDefault="00603F3F" w:rsidP="00603F3F">
      <w:pPr>
        <w:widowControl w:val="0"/>
        <w:spacing w:after="0"/>
        <w:jc w:val="both"/>
        <w:rPr>
          <w:rFonts w:ascii="Times New Roman" w:hAnsi="Times New Roman"/>
          <w:sz w:val="20"/>
          <w:szCs w:val="20"/>
          <w:lang w:eastAsia="it-IT"/>
        </w:rPr>
      </w:pPr>
      <w:r w:rsidRPr="00FE23D5">
        <w:rPr>
          <w:rFonts w:ascii="Times New Roman" w:hAnsi="Times New Roman"/>
          <w:sz w:val="20"/>
          <w:szCs w:val="20"/>
          <w:lang w:eastAsia="it-IT"/>
        </w:rPr>
        <w:t>La combinazione dei due risultati consentirà alle retribuzioni lorde di progredire a tassi moderati (+0,2 per cento)</w:t>
      </w:r>
      <w:r>
        <w:rPr>
          <w:rFonts w:ascii="Times New Roman" w:hAnsi="Times New Roman"/>
          <w:sz w:val="20"/>
          <w:szCs w:val="20"/>
          <w:lang w:eastAsia="it-IT"/>
        </w:rPr>
        <w:t xml:space="preserve"> </w:t>
      </w:r>
      <w:r w:rsidRPr="00FE23D5">
        <w:rPr>
          <w:rFonts w:ascii="Times New Roman" w:hAnsi="Times New Roman"/>
          <w:sz w:val="20"/>
          <w:szCs w:val="20"/>
          <w:lang w:eastAsia="it-IT"/>
        </w:rPr>
        <w:t>e, ai consumi, di mantenersi tonici con tassi medi attorno all’1,6 per cento. La dinamica dell’attività economica</w:t>
      </w:r>
      <w:r>
        <w:rPr>
          <w:rFonts w:ascii="Times New Roman" w:hAnsi="Times New Roman"/>
          <w:sz w:val="20"/>
          <w:szCs w:val="20"/>
          <w:lang w:eastAsia="it-IT"/>
        </w:rPr>
        <w:t xml:space="preserve"> </w:t>
      </w:r>
      <w:r w:rsidRPr="00FE23D5">
        <w:rPr>
          <w:rFonts w:ascii="Times New Roman" w:hAnsi="Times New Roman"/>
          <w:sz w:val="20"/>
          <w:szCs w:val="20"/>
          <w:lang w:eastAsia="it-IT"/>
        </w:rPr>
        <w:t>regionale, prevista non particolarmente robusta per il medio lungo periodo potrebbe influire sul numero delle</w:t>
      </w:r>
      <w:r>
        <w:rPr>
          <w:rFonts w:ascii="Times New Roman" w:hAnsi="Times New Roman"/>
          <w:sz w:val="20"/>
          <w:szCs w:val="20"/>
          <w:lang w:eastAsia="it-IT"/>
        </w:rPr>
        <w:t xml:space="preserve"> </w:t>
      </w:r>
      <w:r w:rsidRPr="00FE23D5">
        <w:rPr>
          <w:rFonts w:ascii="Times New Roman" w:hAnsi="Times New Roman"/>
          <w:sz w:val="20"/>
          <w:szCs w:val="20"/>
          <w:lang w:eastAsia="it-IT"/>
        </w:rPr>
        <w:t>persone in cerca di occupazione che, tuttavia, sono stimate in riduzione fino al 2020.</w:t>
      </w:r>
    </w:p>
    <w:p w14:paraId="30801B54" w14:textId="77777777" w:rsidR="00F67550" w:rsidRDefault="00F67550" w:rsidP="00603F3F">
      <w:pPr>
        <w:widowControl w:val="0"/>
        <w:spacing w:after="0"/>
        <w:jc w:val="both"/>
        <w:rPr>
          <w:szCs w:val="20"/>
          <w:lang w:eastAsia="it-IT"/>
        </w:rPr>
      </w:pPr>
    </w:p>
    <w:p w14:paraId="4FE67D5A" w14:textId="42E18957" w:rsidR="00603F3F" w:rsidRPr="00BC53FA" w:rsidRDefault="00603F3F" w:rsidP="003E3269">
      <w:pPr>
        <w:pStyle w:val="Titolo3"/>
        <w:keepNext w:val="0"/>
        <w:widowControl w:val="0"/>
        <w:numPr>
          <w:ilvl w:val="1"/>
          <w:numId w:val="31"/>
        </w:numPr>
        <w:spacing w:line="276" w:lineRule="auto"/>
        <w:ind w:left="426" w:hanging="426"/>
        <w:contextualSpacing w:val="0"/>
      </w:pPr>
      <w:bookmarkStart w:id="28" w:name="_Toc497502608"/>
      <w:bookmarkStart w:id="29" w:name="_Toc535854399"/>
      <w:r w:rsidRPr="00BC53FA">
        <w:t>Il Quadro Sociale Regionale</w:t>
      </w:r>
      <w:bookmarkEnd w:id="28"/>
      <w:bookmarkEnd w:id="29"/>
      <w:r w:rsidR="00244BD2">
        <w:rPr>
          <w:lang w:val="it-IT"/>
        </w:rPr>
        <w:t xml:space="preserve"> e Comunale</w:t>
      </w:r>
    </w:p>
    <w:p w14:paraId="5863CAFF" w14:textId="21AB79DB" w:rsidR="00603F3F" w:rsidRDefault="00603F3F" w:rsidP="00603F3F">
      <w:pPr>
        <w:widowControl w:val="0"/>
        <w:spacing w:after="0"/>
        <w:jc w:val="both"/>
        <w:rPr>
          <w:rFonts w:ascii="Times New Roman" w:hAnsi="Times New Roman"/>
          <w:sz w:val="20"/>
          <w:szCs w:val="20"/>
        </w:rPr>
      </w:pPr>
      <w:r w:rsidRPr="007D1305">
        <w:rPr>
          <w:rFonts w:ascii="Times New Roman" w:hAnsi="Times New Roman"/>
          <w:sz w:val="20"/>
          <w:szCs w:val="20"/>
        </w:rPr>
        <w:t xml:space="preserve">A queste dinamiche economiche si associano anche rilevazioni </w:t>
      </w:r>
      <w:r>
        <w:rPr>
          <w:rFonts w:ascii="Times New Roman" w:hAnsi="Times New Roman"/>
          <w:sz w:val="20"/>
          <w:szCs w:val="20"/>
        </w:rPr>
        <w:t xml:space="preserve">riguardanti </w:t>
      </w:r>
      <w:r w:rsidRPr="007D1305">
        <w:rPr>
          <w:rFonts w:ascii="Times New Roman" w:hAnsi="Times New Roman"/>
          <w:sz w:val="20"/>
          <w:szCs w:val="20"/>
        </w:rPr>
        <w:t>aspetti legati alle dimensioni che potremmo definire “sociali” nel senso più ampio del termine, riferite al territorio regionale.</w:t>
      </w:r>
    </w:p>
    <w:p w14:paraId="59CE928B" w14:textId="54CE1357" w:rsidR="00603F3F" w:rsidRDefault="00603F3F" w:rsidP="00603F3F">
      <w:pPr>
        <w:widowControl w:val="0"/>
        <w:spacing w:after="0"/>
        <w:jc w:val="both"/>
        <w:rPr>
          <w:rFonts w:ascii="Times New Roman" w:hAnsi="Times New Roman"/>
          <w:sz w:val="20"/>
          <w:szCs w:val="20"/>
        </w:rPr>
      </w:pPr>
      <w:r w:rsidRPr="007D1305">
        <w:rPr>
          <w:rFonts w:ascii="Times New Roman" w:hAnsi="Times New Roman"/>
          <w:sz w:val="20"/>
          <w:szCs w:val="20"/>
        </w:rPr>
        <w:t>Anche su questo versante, la Regione Lazio ha avvertito le conseguenze della crisi dei mercati finanziari, come dimostra la crescita, per il periodo considerato (tra il 2004 e il 2015) del numero di persone a rischio povertà e di esclusione sociale (+20%) che però risulta essere inferiore a quanto emerso in altre circoscrizioni regionali di pari rilevanza nazionale, come Lombardia (+24%), Valle d’Aosta (+29%), Emilia-Romagna (+31%) e Toscana (+35%). Meno unilaterali sono i dati relativi alla popolazione giovanile con riferimento al tasso di istruzione, per i quali si registra nello stesso periodo (2004-2016) un incremento sia del tasso di scolarizzazione superiore che dei cosiddetti NEET</w:t>
      </w:r>
      <w:r w:rsidRPr="007D1305">
        <w:rPr>
          <w:rStyle w:val="Rimandonotadichiusura"/>
          <w:rFonts w:ascii="Times New Roman" w:hAnsi="Times New Roman"/>
          <w:sz w:val="20"/>
          <w:szCs w:val="20"/>
        </w:rPr>
        <w:endnoteReference w:id="19"/>
      </w:r>
      <w:r w:rsidRPr="007D1305">
        <w:rPr>
          <w:rFonts w:ascii="Times New Roman" w:hAnsi="Times New Roman"/>
          <w:sz w:val="20"/>
          <w:szCs w:val="20"/>
        </w:rPr>
        <w:t xml:space="preserve"> sebbene, secondo il Documento di Economia e Finanza Regionale 201</w:t>
      </w:r>
      <w:r>
        <w:rPr>
          <w:rFonts w:ascii="Times New Roman" w:hAnsi="Times New Roman"/>
          <w:sz w:val="20"/>
          <w:szCs w:val="20"/>
        </w:rPr>
        <w:t>9-2021</w:t>
      </w:r>
      <w:r w:rsidRPr="007D1305">
        <w:rPr>
          <w:rStyle w:val="Rimandonotadichiusura"/>
          <w:rFonts w:ascii="Times New Roman" w:hAnsi="Times New Roman"/>
          <w:sz w:val="20"/>
          <w:szCs w:val="20"/>
        </w:rPr>
        <w:endnoteReference w:id="20"/>
      </w:r>
      <w:r w:rsidRPr="007D1305">
        <w:rPr>
          <w:rFonts w:ascii="Times New Roman" w:hAnsi="Times New Roman"/>
          <w:sz w:val="20"/>
          <w:szCs w:val="20"/>
        </w:rPr>
        <w:t xml:space="preserve"> si sia verificata una inversione di tendenza nel 2016.</w:t>
      </w:r>
      <w:r>
        <w:rPr>
          <w:rFonts w:ascii="Times New Roman" w:hAnsi="Times New Roman"/>
          <w:sz w:val="20"/>
          <w:szCs w:val="20"/>
        </w:rPr>
        <w:t xml:space="preserve"> </w:t>
      </w:r>
      <w:r w:rsidRPr="007D1305">
        <w:rPr>
          <w:rFonts w:ascii="Times New Roman" w:hAnsi="Times New Roman"/>
          <w:sz w:val="20"/>
          <w:szCs w:val="20"/>
        </w:rPr>
        <w:t>Dati tendenzialmente positivi si registrano invece per i consumi culturali, con un incremento netto sia dell’Indice di Domanda del Patrimonio Culturale che della Promozione dell’Offerta Culturale. Con riferimento ai consumi tecnologici (società dell’informazione) si registra un andamento positivo per tutte le variabili considerate (che misurano, sostanzialmente la disponibilità e il consumo di</w:t>
      </w:r>
      <w:r w:rsidRPr="0092397B">
        <w:rPr>
          <w:rFonts w:ascii="Times New Roman" w:hAnsi="Times New Roman"/>
          <w:i/>
          <w:sz w:val="20"/>
          <w:szCs w:val="20"/>
        </w:rPr>
        <w:t xml:space="preserve"> Internet</w:t>
      </w:r>
      <w:r w:rsidRPr="007D1305">
        <w:rPr>
          <w:rFonts w:ascii="Times New Roman" w:hAnsi="Times New Roman"/>
          <w:sz w:val="20"/>
          <w:szCs w:val="20"/>
        </w:rPr>
        <w:t xml:space="preserve"> nelle famiglie e nelle Imprese).</w:t>
      </w:r>
      <w:r>
        <w:rPr>
          <w:rFonts w:ascii="Times New Roman" w:hAnsi="Times New Roman"/>
          <w:sz w:val="20"/>
          <w:szCs w:val="20"/>
        </w:rPr>
        <w:t xml:space="preserve"> </w:t>
      </w:r>
      <w:r w:rsidRPr="007D1305">
        <w:rPr>
          <w:rFonts w:ascii="Times New Roman" w:hAnsi="Times New Roman"/>
          <w:sz w:val="20"/>
          <w:szCs w:val="20"/>
        </w:rPr>
        <w:t>A questo quadro fanno eccezione i dati riferiti all’alfabetizzazione digitale nelle Amministrazioni Locali, con solo il 2,3% dei dipendenti ad aver seguito un corso ICT (dati 2015) contro il 18,7% dell’Emilia-Romagna. Sotto la media nazionale anche i dati riferiti ai Comuni con Servizi Pienamente interattivi (</w:t>
      </w:r>
      <w:r w:rsidRPr="0092397B">
        <w:rPr>
          <w:rFonts w:ascii="Times New Roman" w:hAnsi="Times New Roman"/>
          <w:i/>
          <w:sz w:val="20"/>
          <w:szCs w:val="20"/>
        </w:rPr>
        <w:t xml:space="preserve">Benchmark </w:t>
      </w:r>
      <w:r w:rsidRPr="007D1305">
        <w:rPr>
          <w:rFonts w:ascii="Times New Roman" w:hAnsi="Times New Roman"/>
          <w:sz w:val="20"/>
          <w:szCs w:val="20"/>
        </w:rPr>
        <w:t>17° Circoscrizione su 22), mentre decisamente più positive le rilevazioni inerenti il livello di utilizzo dell’</w:t>
      </w:r>
      <w:r w:rsidRPr="0092397B">
        <w:rPr>
          <w:rFonts w:ascii="Times New Roman" w:hAnsi="Times New Roman"/>
          <w:i/>
          <w:sz w:val="20"/>
          <w:szCs w:val="20"/>
        </w:rPr>
        <w:t>e-procurement</w:t>
      </w:r>
      <w:r w:rsidRPr="007D1305">
        <w:rPr>
          <w:rStyle w:val="Rimandonotadichiusura"/>
          <w:rFonts w:ascii="Times New Roman" w:hAnsi="Times New Roman"/>
          <w:sz w:val="20"/>
          <w:szCs w:val="20"/>
        </w:rPr>
        <w:endnoteReference w:id="21"/>
      </w:r>
      <w:r w:rsidRPr="007D1305">
        <w:rPr>
          <w:rFonts w:ascii="Times New Roman" w:hAnsi="Times New Roman"/>
          <w:sz w:val="20"/>
          <w:szCs w:val="20"/>
        </w:rPr>
        <w:t xml:space="preserve"> nelle Pubbliche Amministrazioni, con un valore percentuale di quasi il 31%, che fa del Lazio la 9° Regione Italiana per questo indicatore.</w:t>
      </w:r>
    </w:p>
    <w:p w14:paraId="35E4891E" w14:textId="77777777" w:rsidR="00F67550" w:rsidRPr="007D1305" w:rsidRDefault="00F67550" w:rsidP="00603F3F">
      <w:pPr>
        <w:widowControl w:val="0"/>
        <w:spacing w:after="0"/>
        <w:jc w:val="both"/>
        <w:rPr>
          <w:rFonts w:ascii="Times New Roman" w:hAnsi="Times New Roman"/>
          <w:sz w:val="20"/>
          <w:szCs w:val="20"/>
        </w:rPr>
      </w:pPr>
    </w:p>
    <w:p w14:paraId="6907CE35" w14:textId="085857A6" w:rsidR="00603F3F" w:rsidRPr="00BC53FA" w:rsidRDefault="00603F3F" w:rsidP="003E3269">
      <w:pPr>
        <w:pStyle w:val="Titolo3"/>
        <w:keepNext w:val="0"/>
        <w:widowControl w:val="0"/>
        <w:numPr>
          <w:ilvl w:val="1"/>
          <w:numId w:val="31"/>
        </w:numPr>
        <w:spacing w:line="276" w:lineRule="auto"/>
        <w:ind w:left="426" w:hanging="426"/>
        <w:contextualSpacing w:val="0"/>
      </w:pPr>
      <w:bookmarkStart w:id="30" w:name="_Toc497502609"/>
      <w:bookmarkStart w:id="31" w:name="_Toc535854401"/>
      <w:r w:rsidRPr="00BC53FA">
        <w:t xml:space="preserve">Bisogni emergenti dal Quadro Socio </w:t>
      </w:r>
      <w:r w:rsidR="00A83364">
        <w:rPr>
          <w:lang w:val="it-IT"/>
        </w:rPr>
        <w:t>-</w:t>
      </w:r>
      <w:r w:rsidRPr="00BC53FA">
        <w:t xml:space="preserve"> Economico</w:t>
      </w:r>
      <w:bookmarkEnd w:id="30"/>
      <w:bookmarkEnd w:id="31"/>
    </w:p>
    <w:p w14:paraId="6DE4B652" w14:textId="30615822" w:rsidR="00603F3F" w:rsidRDefault="00603F3F" w:rsidP="00603F3F">
      <w:pPr>
        <w:widowControl w:val="0"/>
        <w:spacing w:after="0"/>
        <w:jc w:val="both"/>
        <w:rPr>
          <w:rFonts w:ascii="Times New Roman" w:hAnsi="Times New Roman"/>
          <w:noProof/>
          <w:sz w:val="20"/>
          <w:szCs w:val="20"/>
          <w:lang w:eastAsia="it-IT"/>
        </w:rPr>
      </w:pPr>
      <w:r w:rsidRPr="007D1305">
        <w:rPr>
          <w:rFonts w:ascii="Times New Roman" w:hAnsi="Times New Roman"/>
          <w:noProof/>
          <w:sz w:val="20"/>
          <w:szCs w:val="20"/>
          <w:lang w:eastAsia="it-IT"/>
        </w:rPr>
        <w:t xml:space="preserve">L’approfondimento del quadro economico e sociale, sia con riferimento all’intero territorio nazionale che per ciò che concerne più specificamente il territorio regionale lascia emergere alcune evidenze che permettono di intercettare dei bisogni della popolazione residente per i quali l’attività </w:t>
      </w:r>
      <w:r w:rsidR="00D323AA">
        <w:rPr>
          <w:rFonts w:ascii="Times New Roman" w:hAnsi="Times New Roman"/>
          <w:noProof/>
          <w:sz w:val="20"/>
          <w:szCs w:val="20"/>
          <w:lang w:eastAsia="it-IT"/>
        </w:rPr>
        <w:t>d</w:t>
      </w:r>
      <w:r>
        <w:rPr>
          <w:rFonts w:ascii="Times New Roman" w:hAnsi="Times New Roman"/>
          <w:noProof/>
          <w:sz w:val="20"/>
          <w:szCs w:val="20"/>
          <w:lang w:eastAsia="it-IT"/>
        </w:rPr>
        <w:t>ella società</w:t>
      </w:r>
      <w:r w:rsidRPr="007D1305">
        <w:rPr>
          <w:rFonts w:ascii="Times New Roman" w:hAnsi="Times New Roman"/>
          <w:noProof/>
          <w:sz w:val="20"/>
          <w:szCs w:val="20"/>
          <w:lang w:eastAsia="it-IT"/>
        </w:rPr>
        <w:t xml:space="preserve"> può concorrere direttamente o indirettamente, a fornire una risposta concreta.</w:t>
      </w:r>
      <w:r>
        <w:rPr>
          <w:rFonts w:ascii="Times New Roman" w:hAnsi="Times New Roman"/>
          <w:noProof/>
          <w:sz w:val="20"/>
          <w:szCs w:val="20"/>
          <w:lang w:eastAsia="it-IT"/>
        </w:rPr>
        <w:t xml:space="preserve"> </w:t>
      </w:r>
      <w:r w:rsidRPr="007D1305">
        <w:rPr>
          <w:rFonts w:ascii="Times New Roman" w:hAnsi="Times New Roman"/>
          <w:noProof/>
          <w:sz w:val="20"/>
          <w:szCs w:val="20"/>
          <w:lang w:eastAsia="it-IT"/>
        </w:rPr>
        <w:t>In particolare, si evidenzia come l’attività d</w:t>
      </w:r>
      <w:r>
        <w:rPr>
          <w:rFonts w:ascii="Times New Roman" w:hAnsi="Times New Roman"/>
          <w:noProof/>
          <w:sz w:val="20"/>
          <w:szCs w:val="20"/>
          <w:lang w:eastAsia="it-IT"/>
        </w:rPr>
        <w:t>ella società</w:t>
      </w:r>
      <w:r w:rsidRPr="007D1305">
        <w:rPr>
          <w:rFonts w:ascii="Times New Roman" w:hAnsi="Times New Roman"/>
          <w:sz w:val="20"/>
          <w:szCs w:val="20"/>
          <w:lang w:eastAsia="it-IT"/>
        </w:rPr>
        <w:t xml:space="preserve"> </w:t>
      </w:r>
      <w:r w:rsidRPr="007D1305">
        <w:rPr>
          <w:rFonts w:ascii="Times New Roman" w:hAnsi="Times New Roman"/>
          <w:noProof/>
          <w:sz w:val="20"/>
          <w:szCs w:val="20"/>
          <w:lang w:eastAsia="it-IT"/>
        </w:rPr>
        <w:t xml:space="preserve">possa influenzare alcune dinamiche sociali particolarmente rilevanti, come nel caso dei servizi offerti </w:t>
      </w:r>
      <w:r w:rsidR="009C1DCA">
        <w:rPr>
          <w:rFonts w:ascii="Times New Roman" w:hAnsi="Times New Roman"/>
          <w:noProof/>
          <w:sz w:val="20"/>
          <w:szCs w:val="20"/>
          <w:lang w:eastAsia="it-IT"/>
        </w:rPr>
        <w:t>Raccolta Rifiuti Solidi Urbani (RSU), Farmacie, Servizi mensa scolastica e Assitenza Disabili.</w:t>
      </w:r>
    </w:p>
    <w:p w14:paraId="79EB9729" w14:textId="77777777" w:rsidR="00603F3F" w:rsidRDefault="00603F3F" w:rsidP="00603F3F">
      <w:pPr>
        <w:widowControl w:val="0"/>
        <w:spacing w:after="0"/>
        <w:jc w:val="both"/>
        <w:rPr>
          <w:rFonts w:ascii="Times New Roman" w:hAnsi="Times New Roman"/>
          <w:noProof/>
          <w:sz w:val="20"/>
          <w:szCs w:val="20"/>
          <w:lang w:eastAsia="it-IT"/>
        </w:rPr>
      </w:pPr>
    </w:p>
    <w:p w14:paraId="6EE1A0B3" w14:textId="77777777" w:rsidR="00603F3F" w:rsidRDefault="00603F3F" w:rsidP="00603F3F">
      <w:pPr>
        <w:widowControl w:val="0"/>
        <w:spacing w:after="0"/>
        <w:jc w:val="both"/>
        <w:rPr>
          <w:rFonts w:ascii="Times New Roman" w:hAnsi="Times New Roman"/>
          <w:noProof/>
          <w:sz w:val="20"/>
          <w:szCs w:val="20"/>
          <w:lang w:eastAsia="it-IT"/>
        </w:rPr>
      </w:pPr>
    </w:p>
    <w:p w14:paraId="60DEE5F8" w14:textId="266A3A5A" w:rsidR="00603F3F" w:rsidRPr="0080666F" w:rsidRDefault="00603F3F" w:rsidP="000332C3">
      <w:pPr>
        <w:pStyle w:val="Titolo3"/>
        <w:keepNext w:val="0"/>
        <w:widowControl w:val="0"/>
        <w:numPr>
          <w:ilvl w:val="1"/>
          <w:numId w:val="31"/>
        </w:numPr>
        <w:spacing w:line="276" w:lineRule="auto"/>
        <w:ind w:left="426" w:hanging="426"/>
        <w:contextualSpacing w:val="0"/>
        <w:jc w:val="both"/>
      </w:pPr>
      <w:bookmarkStart w:id="32" w:name="_Toc499709165"/>
      <w:bookmarkStart w:id="33" w:name="_Toc499709327"/>
      <w:bookmarkStart w:id="34" w:name="_Toc499709512"/>
      <w:bookmarkStart w:id="35" w:name="_Toc499709696"/>
      <w:bookmarkStart w:id="36" w:name="_Toc499709880"/>
      <w:bookmarkStart w:id="37" w:name="_Toc499710066"/>
      <w:bookmarkStart w:id="38" w:name="_Toc499797124"/>
      <w:bookmarkStart w:id="39" w:name="_Toc499709166"/>
      <w:bookmarkStart w:id="40" w:name="_Toc499709328"/>
      <w:bookmarkStart w:id="41" w:name="_Toc499709513"/>
      <w:bookmarkStart w:id="42" w:name="_Toc499709697"/>
      <w:bookmarkStart w:id="43" w:name="_Toc499709881"/>
      <w:bookmarkStart w:id="44" w:name="_Toc499710067"/>
      <w:bookmarkStart w:id="45" w:name="_Toc499797125"/>
      <w:bookmarkStart w:id="46" w:name="_Toc499880343"/>
      <w:bookmarkStart w:id="47" w:name="_Toc499881212"/>
      <w:bookmarkStart w:id="48" w:name="_Toc499883408"/>
      <w:bookmarkStart w:id="49" w:name="_Toc499883624"/>
      <w:bookmarkStart w:id="50" w:name="_Toc499883840"/>
      <w:bookmarkStart w:id="51" w:name="_Toc499884030"/>
      <w:bookmarkStart w:id="52" w:name="_Toc500232277"/>
      <w:bookmarkStart w:id="53" w:name="_Toc499709167"/>
      <w:bookmarkStart w:id="54" w:name="_Toc499709329"/>
      <w:bookmarkStart w:id="55" w:name="_Toc499709514"/>
      <w:bookmarkStart w:id="56" w:name="_Toc499709698"/>
      <w:bookmarkStart w:id="57" w:name="_Toc499709882"/>
      <w:bookmarkStart w:id="58" w:name="_Toc499710068"/>
      <w:bookmarkStart w:id="59" w:name="_Toc499797126"/>
      <w:bookmarkStart w:id="60" w:name="_Toc499880344"/>
      <w:bookmarkStart w:id="61" w:name="_Toc499881213"/>
      <w:bookmarkStart w:id="62" w:name="_Toc499883409"/>
      <w:bookmarkStart w:id="63" w:name="_Toc499883625"/>
      <w:bookmarkStart w:id="64" w:name="_Toc499883841"/>
      <w:bookmarkStart w:id="65" w:name="_Toc499884031"/>
      <w:bookmarkStart w:id="66" w:name="_Toc500232278"/>
      <w:bookmarkStart w:id="67" w:name="_Toc499709168"/>
      <w:bookmarkStart w:id="68" w:name="_Toc499709330"/>
      <w:bookmarkStart w:id="69" w:name="_Toc499709515"/>
      <w:bookmarkStart w:id="70" w:name="_Toc499709699"/>
      <w:bookmarkStart w:id="71" w:name="_Toc499709883"/>
      <w:bookmarkStart w:id="72" w:name="_Toc499710069"/>
      <w:bookmarkStart w:id="73" w:name="_Toc499797127"/>
      <w:bookmarkStart w:id="74" w:name="_Toc499880345"/>
      <w:bookmarkStart w:id="75" w:name="_Toc499881214"/>
      <w:bookmarkStart w:id="76" w:name="_Toc499883410"/>
      <w:bookmarkStart w:id="77" w:name="_Toc499883626"/>
      <w:bookmarkStart w:id="78" w:name="_Toc499883842"/>
      <w:bookmarkStart w:id="79" w:name="_Toc499884032"/>
      <w:bookmarkStart w:id="80" w:name="_Toc500232279"/>
      <w:bookmarkStart w:id="81" w:name="_Toc499709169"/>
      <w:bookmarkStart w:id="82" w:name="_Toc499709331"/>
      <w:bookmarkStart w:id="83" w:name="_Toc499709516"/>
      <w:bookmarkStart w:id="84" w:name="_Toc499709700"/>
      <w:bookmarkStart w:id="85" w:name="_Toc499709884"/>
      <w:bookmarkStart w:id="86" w:name="_Toc499710070"/>
      <w:bookmarkStart w:id="87" w:name="_Toc499797128"/>
      <w:bookmarkStart w:id="88" w:name="_Toc499880346"/>
      <w:bookmarkStart w:id="89" w:name="_Toc499881215"/>
      <w:bookmarkStart w:id="90" w:name="_Toc499883411"/>
      <w:bookmarkStart w:id="91" w:name="_Toc499883627"/>
      <w:bookmarkStart w:id="92" w:name="_Toc499883843"/>
      <w:bookmarkStart w:id="93" w:name="_Toc499884033"/>
      <w:bookmarkStart w:id="94" w:name="_Toc500232280"/>
      <w:bookmarkStart w:id="95" w:name="_Toc499709170"/>
      <w:bookmarkStart w:id="96" w:name="_Toc499709332"/>
      <w:bookmarkStart w:id="97" w:name="_Toc499709517"/>
      <w:bookmarkStart w:id="98" w:name="_Toc499709701"/>
      <w:bookmarkStart w:id="99" w:name="_Toc499709885"/>
      <w:bookmarkStart w:id="100" w:name="_Toc499710071"/>
      <w:bookmarkStart w:id="101" w:name="_Toc499797129"/>
      <w:bookmarkStart w:id="102" w:name="_Toc499880347"/>
      <w:bookmarkStart w:id="103" w:name="_Toc499881216"/>
      <w:bookmarkStart w:id="104" w:name="_Toc499883412"/>
      <w:bookmarkStart w:id="105" w:name="_Toc499883628"/>
      <w:bookmarkStart w:id="106" w:name="_Toc499883844"/>
      <w:bookmarkStart w:id="107" w:name="_Toc499884034"/>
      <w:bookmarkStart w:id="108" w:name="_Toc500232281"/>
      <w:bookmarkStart w:id="109" w:name="_Toc499709173"/>
      <w:bookmarkStart w:id="110" w:name="_Toc499709335"/>
      <w:bookmarkStart w:id="111" w:name="_Toc499709520"/>
      <w:bookmarkStart w:id="112" w:name="_Toc499709704"/>
      <w:bookmarkStart w:id="113" w:name="_Toc499709888"/>
      <w:bookmarkStart w:id="114" w:name="_Toc499710074"/>
      <w:bookmarkStart w:id="115" w:name="_Toc499797132"/>
      <w:bookmarkStart w:id="116" w:name="_Toc499880348"/>
      <w:bookmarkStart w:id="117" w:name="_Toc499881217"/>
      <w:bookmarkStart w:id="118" w:name="_Toc499883413"/>
      <w:bookmarkStart w:id="119" w:name="_Toc499883629"/>
      <w:bookmarkStart w:id="120" w:name="_Toc499883845"/>
      <w:bookmarkStart w:id="121" w:name="_Toc499884035"/>
      <w:bookmarkStart w:id="122" w:name="_Toc500232282"/>
      <w:bookmarkStart w:id="123" w:name="_Toc499709174"/>
      <w:bookmarkStart w:id="124" w:name="_Toc499709336"/>
      <w:bookmarkStart w:id="125" w:name="_Toc499709521"/>
      <w:bookmarkStart w:id="126" w:name="_Toc499709705"/>
      <w:bookmarkStart w:id="127" w:name="_Toc499709889"/>
      <w:bookmarkStart w:id="128" w:name="_Toc499710075"/>
      <w:bookmarkStart w:id="129" w:name="_Toc499797133"/>
      <w:bookmarkStart w:id="130" w:name="_Toc499880349"/>
      <w:bookmarkStart w:id="131" w:name="_Toc499881218"/>
      <w:bookmarkStart w:id="132" w:name="_Toc499883414"/>
      <w:bookmarkStart w:id="133" w:name="_Toc499883630"/>
      <w:bookmarkStart w:id="134" w:name="_Toc499883846"/>
      <w:bookmarkStart w:id="135" w:name="_Toc499884036"/>
      <w:bookmarkStart w:id="136" w:name="_Toc500232283"/>
      <w:bookmarkStart w:id="137" w:name="_Toc499709175"/>
      <w:bookmarkStart w:id="138" w:name="_Toc499709337"/>
      <w:bookmarkStart w:id="139" w:name="_Toc499709522"/>
      <w:bookmarkStart w:id="140" w:name="_Toc499709706"/>
      <w:bookmarkStart w:id="141" w:name="_Toc499709890"/>
      <w:bookmarkStart w:id="142" w:name="_Toc499710076"/>
      <w:bookmarkStart w:id="143" w:name="_Toc499797134"/>
      <w:bookmarkStart w:id="144" w:name="_Toc499880350"/>
      <w:bookmarkStart w:id="145" w:name="_Toc499881219"/>
      <w:bookmarkStart w:id="146" w:name="_Toc499883415"/>
      <w:bookmarkStart w:id="147" w:name="_Toc499883631"/>
      <w:bookmarkStart w:id="148" w:name="_Toc499883847"/>
      <w:bookmarkStart w:id="149" w:name="_Toc499884037"/>
      <w:bookmarkStart w:id="150" w:name="_Toc500232284"/>
      <w:bookmarkStart w:id="151" w:name="_Toc499709177"/>
      <w:bookmarkStart w:id="152" w:name="_Toc499709339"/>
      <w:bookmarkStart w:id="153" w:name="_Toc499709524"/>
      <w:bookmarkStart w:id="154" w:name="_Toc499709708"/>
      <w:bookmarkStart w:id="155" w:name="_Toc499709892"/>
      <w:bookmarkStart w:id="156" w:name="_Toc499710078"/>
      <w:bookmarkStart w:id="157" w:name="_Toc499797136"/>
      <w:bookmarkStart w:id="158" w:name="_Toc499880351"/>
      <w:bookmarkStart w:id="159" w:name="_Toc499881220"/>
      <w:bookmarkStart w:id="160" w:name="_Toc499883416"/>
      <w:bookmarkStart w:id="161" w:name="_Toc499883632"/>
      <w:bookmarkStart w:id="162" w:name="_Toc499883848"/>
      <w:bookmarkStart w:id="163" w:name="_Toc499884038"/>
      <w:bookmarkStart w:id="164" w:name="_Toc500232285"/>
      <w:bookmarkStart w:id="165" w:name="_Toc499709178"/>
      <w:bookmarkStart w:id="166" w:name="_Toc499709340"/>
      <w:bookmarkStart w:id="167" w:name="_Toc499709525"/>
      <w:bookmarkStart w:id="168" w:name="_Toc499709709"/>
      <w:bookmarkStart w:id="169" w:name="_Toc499709893"/>
      <w:bookmarkStart w:id="170" w:name="_Toc499710079"/>
      <w:bookmarkStart w:id="171" w:name="_Toc499797137"/>
      <w:bookmarkStart w:id="172" w:name="_Toc499880352"/>
      <w:bookmarkStart w:id="173" w:name="_Toc499881221"/>
      <w:bookmarkStart w:id="174" w:name="_Toc499883417"/>
      <w:bookmarkStart w:id="175" w:name="_Toc499883633"/>
      <w:bookmarkStart w:id="176" w:name="_Toc499883849"/>
      <w:bookmarkStart w:id="177" w:name="_Toc499884039"/>
      <w:bookmarkStart w:id="178" w:name="_Toc500232286"/>
      <w:bookmarkStart w:id="179" w:name="_Toc499709179"/>
      <w:bookmarkStart w:id="180" w:name="_Toc499709341"/>
      <w:bookmarkStart w:id="181" w:name="_Toc499709526"/>
      <w:bookmarkStart w:id="182" w:name="_Toc499709710"/>
      <w:bookmarkStart w:id="183" w:name="_Toc499709894"/>
      <w:bookmarkStart w:id="184" w:name="_Toc499710080"/>
      <w:bookmarkStart w:id="185" w:name="_Toc499797138"/>
      <w:bookmarkStart w:id="186" w:name="_Toc499880353"/>
      <w:bookmarkStart w:id="187" w:name="_Toc499881222"/>
      <w:bookmarkStart w:id="188" w:name="_Toc499883418"/>
      <w:bookmarkStart w:id="189" w:name="_Toc499883634"/>
      <w:bookmarkStart w:id="190" w:name="_Toc499883850"/>
      <w:bookmarkStart w:id="191" w:name="_Toc499884040"/>
      <w:bookmarkStart w:id="192" w:name="_Toc500232287"/>
      <w:bookmarkStart w:id="193" w:name="_Toc499709180"/>
      <w:bookmarkStart w:id="194" w:name="_Toc499709342"/>
      <w:bookmarkStart w:id="195" w:name="_Toc499709527"/>
      <w:bookmarkStart w:id="196" w:name="_Toc499709711"/>
      <w:bookmarkStart w:id="197" w:name="_Toc499709895"/>
      <w:bookmarkStart w:id="198" w:name="_Toc499710081"/>
      <w:bookmarkStart w:id="199" w:name="_Toc499797139"/>
      <w:bookmarkStart w:id="200" w:name="_Toc499880354"/>
      <w:bookmarkStart w:id="201" w:name="_Toc499881223"/>
      <w:bookmarkStart w:id="202" w:name="_Toc499883419"/>
      <w:bookmarkStart w:id="203" w:name="_Toc499883635"/>
      <w:bookmarkStart w:id="204" w:name="_Toc499883851"/>
      <w:bookmarkStart w:id="205" w:name="_Toc499884041"/>
      <w:bookmarkStart w:id="206" w:name="_Toc500232288"/>
      <w:bookmarkStart w:id="207" w:name="_Toc471969765"/>
      <w:bookmarkStart w:id="208" w:name="_Toc473547378"/>
      <w:bookmarkStart w:id="209" w:name="_Toc535854402"/>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sidRPr="0080666F">
        <w:t xml:space="preserve">La presenza nel territorio </w:t>
      </w:r>
      <w:r w:rsidR="00F67550">
        <w:rPr>
          <w:lang w:val="it-IT"/>
        </w:rPr>
        <w:t xml:space="preserve">Regionale </w:t>
      </w:r>
      <w:r w:rsidR="000332C3">
        <w:rPr>
          <w:lang w:val="it-IT"/>
        </w:rPr>
        <w:t xml:space="preserve">e Comunale </w:t>
      </w:r>
      <w:r w:rsidRPr="0080666F">
        <w:t>di fenomeni di illegalità economica e di criminalità organizzata.</w:t>
      </w:r>
      <w:bookmarkEnd w:id="207"/>
      <w:bookmarkEnd w:id="208"/>
      <w:bookmarkEnd w:id="209"/>
    </w:p>
    <w:p w14:paraId="59B13501" w14:textId="01C43E47" w:rsidR="00603F3F" w:rsidRPr="00B44E30" w:rsidRDefault="000332C3" w:rsidP="00603F3F">
      <w:pPr>
        <w:widowControl w:val="0"/>
        <w:autoSpaceDE w:val="0"/>
        <w:autoSpaceDN w:val="0"/>
        <w:adjustRightInd w:val="0"/>
        <w:spacing w:after="0"/>
        <w:jc w:val="both"/>
        <w:rPr>
          <w:rFonts w:ascii="Times New Roman" w:hAnsi="Times New Roman"/>
          <w:color w:val="000000"/>
          <w:sz w:val="20"/>
          <w:szCs w:val="20"/>
        </w:rPr>
      </w:pPr>
      <w:r>
        <w:rPr>
          <w:rFonts w:ascii="Times New Roman" w:hAnsi="Times New Roman"/>
          <w:noProof/>
          <w:color w:val="000000"/>
          <w:sz w:val="20"/>
          <w:szCs w:val="20"/>
          <w:lang w:eastAsia="it-IT"/>
        </w:rPr>
        <mc:AlternateContent>
          <mc:Choice Requires="wpi">
            <w:drawing>
              <wp:anchor distT="0" distB="0" distL="114300" distR="114300" simplePos="0" relativeHeight="251663360" behindDoc="0" locked="0" layoutInCell="1" allowOverlap="1" wp14:anchorId="63B38666" wp14:editId="6095D241">
                <wp:simplePos x="0" y="0"/>
                <wp:positionH relativeFrom="column">
                  <wp:posOffset>2439900</wp:posOffset>
                </wp:positionH>
                <wp:positionV relativeFrom="paragraph">
                  <wp:posOffset>269740</wp:posOffset>
                </wp:positionV>
                <wp:extent cx="360" cy="360"/>
                <wp:effectExtent l="57150" t="57150" r="76200" b="76200"/>
                <wp:wrapNone/>
                <wp:docPr id="7" name="Input penna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A20E7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7" o:spid="_x0000_s1026" type="#_x0000_t75" style="position:absolute;margin-left:190.7pt;margin-top:19.85pt;width:2.9pt;height:2.9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">
                <v:imagedata r:id="rId12" o:title=""/>
              </v:shape>
            </w:pict>
          </mc:Fallback>
        </mc:AlternateContent>
      </w:r>
      <w:r w:rsidR="00603F3F" w:rsidRPr="00B44E30">
        <w:rPr>
          <w:rFonts w:ascii="Times New Roman" w:hAnsi="Times New Roman"/>
          <w:color w:val="000000"/>
          <w:sz w:val="20"/>
          <w:szCs w:val="20"/>
        </w:rPr>
        <w:t>Parallelamente alla congiuntura economica generale degli ultimi anni, e senza per questo attribuire di per sé una correlazione tra i fenomeni, si sono evidenziate virulenti manifestazioni di illegalità economica, che si traducono anche in reati contro la P.A., in diversi casi correlate alla presenza di forme di criminalità organizzata.</w:t>
      </w:r>
      <w:r w:rsidR="00603F3F">
        <w:rPr>
          <w:rFonts w:ascii="Times New Roman" w:hAnsi="Times New Roman"/>
          <w:color w:val="000000"/>
          <w:sz w:val="20"/>
          <w:szCs w:val="20"/>
        </w:rPr>
        <w:t xml:space="preserve"> </w:t>
      </w:r>
      <w:r w:rsidR="00603F3F" w:rsidRPr="00B44E30">
        <w:rPr>
          <w:rFonts w:ascii="Times New Roman" w:hAnsi="Times New Roman"/>
          <w:color w:val="000000"/>
          <w:sz w:val="20"/>
          <w:szCs w:val="20"/>
        </w:rPr>
        <w:t>Questa, non vede “</w:t>
      </w:r>
      <w:r w:rsidR="00603F3F" w:rsidRPr="00B44E30">
        <w:rPr>
          <w:rFonts w:ascii="Times New Roman" w:hAnsi="Times New Roman"/>
          <w:i/>
          <w:iCs/>
          <w:color w:val="000000"/>
          <w:sz w:val="20"/>
          <w:szCs w:val="20"/>
        </w:rPr>
        <w:t>un soggetto in posizione di forza e quindi di preminenza sugli altri ma sullo stesso territorio convivono e interagiscono diverse organizzazioni criminali, innanzitutto gruppi che costituiscono proiezioni delle mafie tradizionali. Insieme a queste proiezioni sullo stesso territorio coesistono inoltre gruppi criminali che danno vita, come abbiamo visto a proprie associazioni di matrice autoctona accomunate dall’utilizzo del cosiddetto metodo mafioso.</w:t>
      </w:r>
      <w:r w:rsidR="00603F3F">
        <w:rPr>
          <w:rFonts w:ascii="Times New Roman" w:hAnsi="Times New Roman"/>
          <w:i/>
          <w:iCs/>
          <w:color w:val="000000"/>
          <w:sz w:val="20"/>
          <w:szCs w:val="20"/>
        </w:rPr>
        <w:t xml:space="preserve"> </w:t>
      </w:r>
      <w:r w:rsidR="00603F3F" w:rsidRPr="00B44E30">
        <w:rPr>
          <w:rFonts w:ascii="Times New Roman" w:hAnsi="Times New Roman"/>
          <w:i/>
          <w:iCs/>
          <w:color w:val="000000"/>
          <w:sz w:val="20"/>
          <w:szCs w:val="20"/>
        </w:rPr>
        <w:t>Si determina cosi un perverso scambio di utilità criminali tra gruppi mafiosi e criminali che si riconoscono e si rispettano reciprocamente</w:t>
      </w:r>
      <w:r w:rsidR="00603F3F" w:rsidRPr="00B44E30">
        <w:rPr>
          <w:rFonts w:ascii="Times New Roman" w:hAnsi="Times New Roman"/>
          <w:color w:val="000000"/>
          <w:sz w:val="20"/>
          <w:szCs w:val="20"/>
        </w:rPr>
        <w:t>.”</w:t>
      </w:r>
      <w:r w:rsidR="00603F3F" w:rsidRPr="00B44E30">
        <w:rPr>
          <w:rStyle w:val="Rimandonotadichiusura"/>
          <w:rFonts w:ascii="Times New Roman" w:hAnsi="Times New Roman"/>
          <w:color w:val="000000"/>
          <w:sz w:val="20"/>
          <w:szCs w:val="20"/>
        </w:rPr>
        <w:endnoteReference w:id="22"/>
      </w:r>
    </w:p>
    <w:p w14:paraId="7E4B51D5" w14:textId="77777777" w:rsidR="00603F3F" w:rsidRPr="00B44E30" w:rsidRDefault="00603F3F" w:rsidP="00603F3F">
      <w:pPr>
        <w:widowControl w:val="0"/>
        <w:autoSpaceDE w:val="0"/>
        <w:autoSpaceDN w:val="0"/>
        <w:adjustRightInd w:val="0"/>
        <w:spacing w:after="0"/>
        <w:jc w:val="both"/>
        <w:rPr>
          <w:rFonts w:ascii="Times New Roman" w:hAnsi="Times New Roman"/>
          <w:color w:val="000000"/>
          <w:sz w:val="20"/>
          <w:szCs w:val="20"/>
        </w:rPr>
      </w:pPr>
    </w:p>
    <w:p w14:paraId="5AEF8760" w14:textId="2ED463B0"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Secondo un’indagine dell’Eures, il Lazio presenta, insieme alla Sicilia ed alla Campania, il quadro più allarmante, con 405 reati e 1.094 persone denunciate nel Lazio nel 2014. La regione assorbe quindi il 10,6% dei reati e l’11,3% delle persone denunciate o arrestate in Italia per reati contro la P.A. con la percentuale di 6,9 reati ogni 100 mila abitanti, contro una media nazionale pari a 6,3. Sempre secondo l’Eures, tra il 2009 e il 2014, i principali reati contro la P.A. – commessi da pubblici ufficiali - sono aumentati del 54,6%, contro un aumento medio nazionale del 34,5%</w:t>
      </w:r>
      <w:r w:rsidRPr="00B44E30">
        <w:rPr>
          <w:rStyle w:val="Rimandonotadichiusura"/>
          <w:rFonts w:ascii="Times New Roman" w:hAnsi="Times New Roman"/>
          <w:color w:val="000000"/>
          <w:sz w:val="20"/>
          <w:szCs w:val="20"/>
        </w:rPr>
        <w:endnoteReference w:id="23"/>
      </w:r>
      <w:r w:rsidRPr="00B44E30">
        <w:rPr>
          <w:rFonts w:ascii="Times New Roman" w:hAnsi="Times New Roman"/>
          <w:color w:val="000000"/>
          <w:sz w:val="20"/>
          <w:szCs w:val="20"/>
        </w:rPr>
        <w:t>.</w:t>
      </w:r>
      <w:r>
        <w:rPr>
          <w:rFonts w:ascii="Times New Roman" w:hAnsi="Times New Roman"/>
          <w:color w:val="000000"/>
          <w:sz w:val="20"/>
          <w:szCs w:val="20"/>
        </w:rPr>
        <w:t xml:space="preserve"> </w:t>
      </w:r>
      <w:r w:rsidRPr="00B44E30">
        <w:rPr>
          <w:rFonts w:ascii="Times New Roman" w:hAnsi="Times New Roman"/>
          <w:color w:val="000000"/>
          <w:sz w:val="20"/>
          <w:szCs w:val="20"/>
        </w:rPr>
        <w:t>Particolarmente rilevante è l’incremento registrato nella provincia di Roma pari al 84% rispetto al 2009. I reati contro la P.A. che registrano il più marcato aumento sono quelli di corruzione per l’esercizio della funzione (art. 318 c.p.), corruzione per un atto contrario ai doveri d'ufficio (art. 319 c.p.), corruzione in atti giudiziari (art. 319 ter c.p.), induzione indebita a dare o promettere utilità (art. 319 quater), corruzione di persona incaricata di un pubblico servizio (art. 320 c.p.), istigazione alla corruzione (art. 322 c.p.). Per tali specifici reati l’incremento maggiore, sempre rispetto al 2009, pari a ben il 422%, riguarda Roma (contro l’aumento del 281% dell’intera regione). Un aumento vertiginoso si riscontra in particolare nell’ultimo anno (+262% a Roma, +205% nel Lazio e +181% in Italia). Anche i reati di peculato e di omissione o rifiuto di atti di ufficio risultano in aumento: a Roma rispettivamente del 50% e del 40,8%, nell’intera regione del 44,4% e del 29,2%.</w:t>
      </w:r>
      <w:r>
        <w:rPr>
          <w:rFonts w:ascii="Times New Roman" w:hAnsi="Times New Roman"/>
          <w:color w:val="000000"/>
          <w:sz w:val="20"/>
          <w:szCs w:val="20"/>
        </w:rPr>
        <w:t xml:space="preserve"> </w:t>
      </w:r>
      <w:r w:rsidRPr="00B44E30">
        <w:rPr>
          <w:rFonts w:ascii="Times New Roman" w:hAnsi="Times New Roman"/>
          <w:color w:val="000000"/>
          <w:sz w:val="20"/>
          <w:szCs w:val="20"/>
        </w:rPr>
        <w:t>Sempre secondo l’indagine Eures, si ha modo di assistere nel periodo considerato (2009-2014) ad un aumento “di tutti i reati dei pubblici funzionari e amministratori “infedeli”, affermandosi dunque la presenza di una cultura corruttiva sistemica e pervasiva …”.</w:t>
      </w:r>
    </w:p>
    <w:p w14:paraId="3229489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p>
    <w:p w14:paraId="06E90EDC" w14:textId="753449C7"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In occasione dell’inaugurazione dell’anno giudiziario 2015 svoltasi a Roma il 18 febbraio 2015, il Procuratore regionale della Corte dei conti ha affermato che la corruzione, secondo i primi referti degli investigatori, “</w:t>
      </w:r>
      <w:r w:rsidRPr="00B44E30">
        <w:rPr>
          <w:rFonts w:ascii="Times New Roman" w:hAnsi="Times New Roman"/>
          <w:i/>
          <w:iCs/>
          <w:color w:val="000000"/>
          <w:sz w:val="20"/>
          <w:szCs w:val="20"/>
        </w:rPr>
        <w:t>avrebbe una estensione vasta e sistemica in Roma e nel Lazio, raggiungendo la somma presuntiva da capogiro di circa euro 1.300.000.000,00 (unmiliardotrecentomilioni). Mafia Capitale, al di là delle responsabilità personali, penali ed amministrative, ascrivibili a politici ed a funzionari, rappresenta, purtroppo, il segno di un pericolosissimo degrado civile e dell’invadenza degli interessi delle associazioni criminali penetrate entro le strutture amministrative della Repubblica</w:t>
      </w:r>
      <w:r w:rsidRPr="00B44E30">
        <w:rPr>
          <w:rFonts w:ascii="Times New Roman" w:hAnsi="Times New Roman"/>
          <w:color w:val="000000"/>
          <w:sz w:val="20"/>
          <w:szCs w:val="20"/>
        </w:rPr>
        <w:t>”.</w:t>
      </w:r>
    </w:p>
    <w:p w14:paraId="6459E1FC"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rPr>
      </w:pPr>
    </w:p>
    <w:p w14:paraId="310000B1" w14:textId="14B1739B" w:rsidR="00603F3F" w:rsidRPr="00633314"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Per quanto concerne la criminalità organizzata, secondo il Ministro dell’interno, il Lazio, “</w:t>
      </w:r>
      <w:r w:rsidRPr="00B44E30">
        <w:rPr>
          <w:rFonts w:ascii="Times New Roman" w:hAnsi="Times New Roman"/>
          <w:i/>
          <w:iCs/>
          <w:color w:val="000000"/>
          <w:sz w:val="20"/>
          <w:szCs w:val="20"/>
        </w:rPr>
        <w:t>per la sua posizione geografica…e la presenza della Capitale, si conferma una regione che favorisce la penetrazione tanto delle tradizionali organizzazioni mafiose nazionali che di quelle straniere</w:t>
      </w:r>
      <w:r w:rsidRPr="00B44E30">
        <w:rPr>
          <w:rFonts w:ascii="Times New Roman" w:hAnsi="Times New Roman"/>
          <w:color w:val="000000"/>
          <w:sz w:val="20"/>
          <w:szCs w:val="20"/>
        </w:rPr>
        <w:t>”</w:t>
      </w:r>
      <w:r w:rsidRPr="00B44E30">
        <w:rPr>
          <w:rStyle w:val="Rimandonotadichiusura"/>
          <w:rFonts w:ascii="Times New Roman" w:hAnsi="Times New Roman"/>
          <w:color w:val="000000"/>
          <w:sz w:val="20"/>
          <w:szCs w:val="20"/>
        </w:rPr>
        <w:endnoteReference w:id="24"/>
      </w:r>
      <w:r w:rsidRPr="00B44E30">
        <w:rPr>
          <w:rFonts w:ascii="Times New Roman" w:hAnsi="Times New Roman"/>
          <w:color w:val="000000"/>
          <w:sz w:val="20"/>
          <w:szCs w:val="20"/>
        </w:rPr>
        <w:t>. Inoltre, “</w:t>
      </w:r>
      <w:r w:rsidRPr="00B44E30">
        <w:rPr>
          <w:rFonts w:ascii="Times New Roman" w:hAnsi="Times New Roman"/>
          <w:i/>
          <w:iCs/>
          <w:color w:val="000000"/>
          <w:sz w:val="20"/>
          <w:szCs w:val="20"/>
        </w:rPr>
        <w:t>pur escludendo il controllo sistematico del territorio in analogia a quanto esercitato nelle aree di origine, il Lazio e, segnatamente Roma, costituisce un luogo strategico per le organizzazioni di matrice mafiosa: Cosa Nostra siciliana e ‘</w:t>
      </w:r>
      <w:r w:rsidRPr="00B44E30">
        <w:rPr>
          <w:rFonts w:ascii="Times New Roman" w:hAnsi="Times New Roman"/>
          <w:iCs/>
          <w:color w:val="000000"/>
          <w:sz w:val="20"/>
          <w:szCs w:val="20"/>
        </w:rPr>
        <w:t>Ndrangheta’</w:t>
      </w:r>
      <w:r w:rsidRPr="00B44E30">
        <w:rPr>
          <w:rFonts w:ascii="Times New Roman" w:hAnsi="Times New Roman"/>
          <w:i/>
          <w:iCs/>
          <w:color w:val="000000"/>
          <w:sz w:val="20"/>
          <w:szCs w:val="20"/>
        </w:rPr>
        <w:t>, in particolare, ai fini del riciclaggio; Camorra quanto al riciclaggio dei proventi illeciti ed il supporto ai latitanti.</w:t>
      </w:r>
      <w:r w:rsidRPr="00B44E30">
        <w:rPr>
          <w:rFonts w:ascii="Times New Roman" w:hAnsi="Times New Roman"/>
          <w:color w:val="000000"/>
          <w:sz w:val="20"/>
          <w:szCs w:val="20"/>
        </w:rPr>
        <w:t>”.</w:t>
      </w:r>
      <w:r>
        <w:rPr>
          <w:rFonts w:ascii="Times New Roman" w:hAnsi="Times New Roman"/>
          <w:color w:val="000000"/>
          <w:sz w:val="20"/>
          <w:szCs w:val="20"/>
        </w:rPr>
        <w:t xml:space="preserve"> </w:t>
      </w:r>
      <w:r w:rsidRPr="00B44E30">
        <w:rPr>
          <w:rFonts w:ascii="Times New Roman" w:hAnsi="Times New Roman"/>
          <w:color w:val="000000"/>
          <w:sz w:val="20"/>
          <w:szCs w:val="20"/>
        </w:rPr>
        <w:t>Sempre secondo il Ministro dell’interno, sia “cosa nostra” che la “camorra” si sono dedicate ad investimenti e ad infiltrazioni nel tessuto socio economico e della pubblica amministrazione per l’acquisizione e la gestione di appalti, utilizzando talvolta specifiche professionalità.</w:t>
      </w:r>
      <w:r>
        <w:rPr>
          <w:rFonts w:ascii="Times New Roman" w:hAnsi="Times New Roman"/>
          <w:color w:val="000000"/>
          <w:sz w:val="20"/>
          <w:szCs w:val="20"/>
        </w:rPr>
        <w:t xml:space="preserve"> </w:t>
      </w:r>
      <w:r w:rsidRPr="00B44E30">
        <w:rPr>
          <w:rFonts w:ascii="Times New Roman" w:hAnsi="Times New Roman"/>
          <w:color w:val="000000"/>
          <w:sz w:val="20"/>
          <w:szCs w:val="20"/>
        </w:rPr>
        <w:t>Nella provincia di Roma, in particolare, risultano operare gruppi di criminalità organizzata dediti prevalentemente al riciclaggio. Le mafie risultano investire principalmente in ristoranti ed esercizi commerciali, sia a Roma che sul litorale romano</w:t>
      </w:r>
      <w:r w:rsidRPr="00B44E30">
        <w:rPr>
          <w:rStyle w:val="Rimandonotadichiusura"/>
          <w:rFonts w:ascii="Times New Roman" w:hAnsi="Times New Roman"/>
          <w:color w:val="000000"/>
          <w:sz w:val="20"/>
          <w:szCs w:val="20"/>
        </w:rPr>
        <w:endnoteReference w:id="25"/>
      </w:r>
      <w:r w:rsidRPr="00B44E30">
        <w:rPr>
          <w:rFonts w:ascii="Times New Roman" w:hAnsi="Times New Roman"/>
          <w:color w:val="000000"/>
          <w:sz w:val="20"/>
          <w:szCs w:val="20"/>
        </w:rPr>
        <w:t>.</w:t>
      </w:r>
      <w:r>
        <w:rPr>
          <w:rFonts w:ascii="Times New Roman" w:hAnsi="Times New Roman"/>
          <w:color w:val="000000"/>
          <w:sz w:val="20"/>
          <w:szCs w:val="20"/>
        </w:rPr>
        <w:t xml:space="preserve"> </w:t>
      </w:r>
      <w:r w:rsidRPr="00633314">
        <w:rPr>
          <w:rFonts w:ascii="Times New Roman" w:hAnsi="Times New Roman"/>
          <w:color w:val="000000"/>
          <w:sz w:val="20"/>
          <w:szCs w:val="20"/>
        </w:rPr>
        <w:t xml:space="preserve">Per quanto riguarda </w:t>
      </w:r>
      <w:r>
        <w:rPr>
          <w:rFonts w:ascii="Times New Roman" w:hAnsi="Times New Roman"/>
          <w:color w:val="000000"/>
          <w:sz w:val="20"/>
          <w:szCs w:val="20"/>
        </w:rPr>
        <w:t>più specificatamente</w:t>
      </w:r>
      <w:r w:rsidRPr="00633314">
        <w:rPr>
          <w:rFonts w:ascii="Times New Roman" w:hAnsi="Times New Roman"/>
          <w:color w:val="000000"/>
          <w:sz w:val="20"/>
          <w:szCs w:val="20"/>
        </w:rPr>
        <w:t xml:space="preserve"> la criminalità romana, la relazione del secondo semestre 2017 del Ministro dell’Interno al Parlamento sull’attività svolta e sui risultati conseguiti dalla Direzione Investigativa Antimafia evidenzia come «</w:t>
      </w:r>
      <w:r w:rsidRPr="00633314">
        <w:rPr>
          <w:rFonts w:ascii="Times New Roman" w:hAnsi="Times New Roman"/>
          <w:i/>
          <w:color w:val="000000"/>
          <w:sz w:val="20"/>
          <w:szCs w:val="20"/>
        </w:rPr>
        <w:t>gli esiti investigativi e giudiziari degli ultimi anni continuano, infatti, a dar conto di una realtà, quella romana, particolarmente complessa sotto il profilo delle infiltrazioni criminali, che vedono all’opera qualificate proiezioni delle organizzazioni di tipo mafioso italiane (siciliane, calabresi e campane in primis), che sono riuscite agevolmente ad adattarsi alle caratteristiche socio-economiche del territorio di elezione. All’occorrenza, queste compagini criminali sanno perfettamente intersecare i propri interessi non solo con i sodalizi di matrice straniera, ma, anche, con le formazioni delinquenziali autoctone che, pur diverse tra loro, in termini di modello strutturale e di azione connessa all’esercizio del potere criminale, hanno adottato il modello, organizzativo ed operativo, di tipo mafioso, per acquisire sempre più spazi nell’ambiente territoriale di riferimento</w:t>
      </w:r>
      <w:r w:rsidRPr="00633314">
        <w:rPr>
          <w:rFonts w:ascii="Times New Roman" w:hAnsi="Times New Roman"/>
          <w:color w:val="000000"/>
          <w:sz w:val="20"/>
          <w:szCs w:val="20"/>
        </w:rPr>
        <w:t>».</w:t>
      </w:r>
    </w:p>
    <w:p w14:paraId="7E14AD16" w14:textId="77777777" w:rsidR="00603F3F" w:rsidRPr="00B44E30" w:rsidRDefault="00603F3F" w:rsidP="00603F3F">
      <w:pPr>
        <w:widowControl w:val="0"/>
        <w:autoSpaceDE w:val="0"/>
        <w:autoSpaceDN w:val="0"/>
        <w:adjustRightInd w:val="0"/>
        <w:spacing w:after="0"/>
        <w:jc w:val="both"/>
        <w:rPr>
          <w:rFonts w:ascii="Times New Roman" w:hAnsi="Times New Roman"/>
          <w:color w:val="000000"/>
          <w:sz w:val="20"/>
          <w:szCs w:val="20"/>
        </w:rPr>
      </w:pPr>
    </w:p>
    <w:p w14:paraId="3DC099DF"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Nel proprio intervento presso la “Commissione speciale sulla criminalità organizzata, la corruzione e il riciclaggio di denaro” – Bruxelles 18 giugno 2013 - il Direttore della Direzione investigativa antimafia – D.I.A. ha ricordato come l’azione della criminalità organizzata “</w:t>
      </w:r>
      <w:r w:rsidRPr="00B44E30">
        <w:rPr>
          <w:rFonts w:ascii="Times New Roman" w:hAnsi="Times New Roman"/>
          <w:i/>
          <w:iCs/>
          <w:color w:val="000000"/>
          <w:sz w:val="20"/>
          <w:szCs w:val="20"/>
        </w:rPr>
        <w:t>incide pesantemente sull’economia globalizzata, riuscendo a sfruttarne le debolezze e le fragilità mediante sofisticate condotte illecite transnazionali, poste in essere dalle associazioni mafiose in cooperazione tra di loro….Esse sono in grado di riciclare/reinvestire enormi capitali, derivanti dai lucrosi traffici illeciti, che, reinseriti nel tessuto sano dell’economia, rappresentano una seria minaccia per la libertà d’impresa economica e di concorrenza, per via dei gravi effetti distorsivi prodotti. Tale problema diventa ancor più rilevante in un periodo di grave crisi economico finanziaria, come quello attuale, caratterizzato oltretutto da una forte stretta creditizia. L’impresa mafiosa gode, infatti, di enormi vantaggi rispetto all’imprenditore onesto, in quanto dispone di capitali virtualmente illimitati e a costo zero. Inoltre, grazie a questa grande disponibilità finanziaria, nella realizzazione dei suoi programmi delittuosi, la criminalità organizzata tende sempre più a condizionare le attività della pubblica amministrazione, a intromettersi nei relativi circuiti finanziari, ad assicurarsi la connivenza di rappresentanti dell’area politico-amministrativa e dell’imprenditoria. In base alle esperienze operative fin qui maturate, il condizionamento dell’apparato politico-amministrativo si manifesta, prevalentemente, nei settori degli appalti e dei lavori per la realizzazione di opere pubbliche; dei finanziamenti pubblici; dello smaltimento dei rifiuti; dei contratti diretti all'acquisizione di beni di ogni tipo ed alla gestione di servizi</w:t>
      </w:r>
      <w:r w:rsidRPr="00B44E30">
        <w:rPr>
          <w:rFonts w:ascii="Times New Roman" w:hAnsi="Times New Roman"/>
          <w:color w:val="000000"/>
          <w:sz w:val="20"/>
          <w:szCs w:val="20"/>
        </w:rPr>
        <w:t>.”</w:t>
      </w:r>
      <w:r w:rsidRPr="00B44E30">
        <w:rPr>
          <w:rStyle w:val="Rimandonotadichiusura"/>
          <w:rFonts w:ascii="Times New Roman" w:hAnsi="Times New Roman"/>
          <w:color w:val="000000"/>
          <w:sz w:val="20"/>
          <w:szCs w:val="20"/>
        </w:rPr>
        <w:endnoteReference w:id="26"/>
      </w:r>
    </w:p>
    <w:p w14:paraId="06D18122"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p>
    <w:p w14:paraId="7F97AF8B" w14:textId="7A20FECD"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44E30">
        <w:rPr>
          <w:rFonts w:ascii="Times New Roman" w:hAnsi="Times New Roman"/>
          <w:color w:val="000000"/>
          <w:sz w:val="20"/>
          <w:szCs w:val="20"/>
        </w:rPr>
        <w:t xml:space="preserve">Da segnalare, infine, che anche nella nostra Regione sono state registrate forme di minacce e di atti intimidatori nei confronti di amministratori di enti locali </w:t>
      </w:r>
      <w:r>
        <w:rPr>
          <w:rFonts w:ascii="Times New Roman" w:hAnsi="Times New Roman"/>
          <w:color w:val="000000"/>
          <w:sz w:val="20"/>
          <w:szCs w:val="20"/>
        </w:rPr>
        <w:t>Secondo i dati dell’</w:t>
      </w:r>
      <w:hyperlink r:id="rId13" w:history="1">
        <w:r w:rsidRPr="00531BD0">
          <w:rPr>
            <w:rStyle w:val="Collegamentoipertestuale"/>
            <w:rFonts w:ascii="Times New Roman" w:hAnsi="Times New Roman"/>
            <w:b/>
            <w:bCs/>
            <w:color w:val="auto"/>
            <w:sz w:val="20"/>
            <w:szCs w:val="20"/>
            <w:u w:val="none"/>
          </w:rPr>
          <w:t>Osservatorio sul fenomeno degli atti intimidatori nei confronti degli amministratori locali</w:t>
        </w:r>
      </w:hyperlink>
      <w:r>
        <w:rPr>
          <w:rStyle w:val="Rimandonotadichiusura"/>
          <w:rFonts w:ascii="Times New Roman" w:hAnsi="Times New Roman"/>
          <w:color w:val="000000"/>
          <w:sz w:val="20"/>
          <w:szCs w:val="20"/>
        </w:rPr>
        <w:endnoteReference w:id="27"/>
      </w:r>
      <w:r>
        <w:rPr>
          <w:rFonts w:ascii="Times New Roman" w:hAnsi="Times New Roman"/>
          <w:color w:val="000000"/>
          <w:sz w:val="20"/>
          <w:szCs w:val="20"/>
        </w:rPr>
        <w:t>, l</w:t>
      </w:r>
      <w:r w:rsidRPr="0010601D">
        <w:rPr>
          <w:rFonts w:ascii="Times New Roman" w:hAnsi="Times New Roman"/>
          <w:color w:val="000000"/>
          <w:sz w:val="20"/>
          <w:szCs w:val="20"/>
        </w:rPr>
        <w:t>’esame dei dati relativi al I semestre 2018, rispetto allo stesso periodo dell’anno precedente, consente di evidenziare una flessione del fenomeno degli atti intimidatori nei confronti di amministratori locali su base nazionale con 309 episodi rispetto ai 342 (-9,6%).</w:t>
      </w:r>
      <w:r>
        <w:rPr>
          <w:rFonts w:ascii="Times New Roman" w:hAnsi="Times New Roman"/>
          <w:color w:val="000000"/>
          <w:sz w:val="20"/>
          <w:szCs w:val="20"/>
        </w:rPr>
        <w:t xml:space="preserve"> </w:t>
      </w:r>
      <w:r w:rsidRPr="002F4F40">
        <w:rPr>
          <w:rFonts w:ascii="Times New Roman" w:hAnsi="Times New Roman"/>
          <w:color w:val="000000"/>
          <w:sz w:val="20"/>
          <w:szCs w:val="20"/>
        </w:rPr>
        <w:t>L</w:t>
      </w:r>
      <w:r>
        <w:rPr>
          <w:rFonts w:ascii="Times New Roman" w:hAnsi="Times New Roman"/>
          <w:color w:val="000000"/>
          <w:sz w:val="20"/>
          <w:szCs w:val="20"/>
        </w:rPr>
        <w:t xml:space="preserve">a Regione Lazio si è collocata al decimo posto fra le </w:t>
      </w:r>
      <w:r w:rsidRPr="002F4F40">
        <w:rPr>
          <w:rFonts w:ascii="Times New Roman" w:hAnsi="Times New Roman"/>
          <w:color w:val="000000"/>
          <w:sz w:val="20"/>
          <w:szCs w:val="20"/>
        </w:rPr>
        <w:t xml:space="preserve">10 regioni maggiormente colpite dal fenomeno in </w:t>
      </w:r>
      <w:r>
        <w:rPr>
          <w:rFonts w:ascii="Times New Roman" w:hAnsi="Times New Roman"/>
          <w:color w:val="000000"/>
          <w:sz w:val="20"/>
          <w:szCs w:val="20"/>
        </w:rPr>
        <w:t>esame</w:t>
      </w:r>
      <w:r w:rsidRPr="002F4F40">
        <w:rPr>
          <w:rFonts w:ascii="Times New Roman" w:hAnsi="Times New Roman"/>
          <w:color w:val="000000"/>
          <w:sz w:val="20"/>
          <w:szCs w:val="20"/>
        </w:rPr>
        <w:t xml:space="preserve"> nel I semestre 2018</w:t>
      </w:r>
      <w:r>
        <w:rPr>
          <w:rFonts w:ascii="Times New Roman" w:hAnsi="Times New Roman"/>
          <w:color w:val="000000"/>
          <w:sz w:val="20"/>
          <w:szCs w:val="20"/>
        </w:rPr>
        <w:t xml:space="preserve">, sebbene i casi registrati siano in leggero calo: nel primo semestre 2018 il dato registrato è pari a 13 mentre nello stesso periodo del 2017 i casi erano stati 17. </w:t>
      </w:r>
    </w:p>
    <w:p w14:paraId="373EE965" w14:textId="1EFD86D6" w:rsidR="000332C3" w:rsidRPr="000F2E67" w:rsidRDefault="00244BD2" w:rsidP="00244BD2">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 xml:space="preserve">In conclusione, a chiusura dell’analisi del contesto effettuata, in particolare, si segnala che la società è stata oggetto, negli ultimi anni, di eventi corruttivi ed in particolare, si evidenza </w:t>
      </w:r>
      <w:r w:rsidR="00CE27CD" w:rsidRPr="000F2E67">
        <w:rPr>
          <w:rFonts w:ascii="Times New Roman" w:eastAsia="Times New Roman" w:hAnsi="Times New Roman"/>
          <w:color w:val="222222"/>
          <w:sz w:val="20"/>
          <w:szCs w:val="20"/>
          <w:lang w:eastAsia="it-IT"/>
        </w:rPr>
        <w:t xml:space="preserve">che dal </w:t>
      </w:r>
      <w:r w:rsidR="000332C3" w:rsidRPr="000F2E67">
        <w:rPr>
          <w:rFonts w:ascii="Times New Roman" w:eastAsia="Times New Roman" w:hAnsi="Times New Roman"/>
          <w:color w:val="222222"/>
          <w:sz w:val="20"/>
          <w:szCs w:val="20"/>
          <w:lang w:eastAsia="it-IT"/>
        </w:rPr>
        <w:t xml:space="preserve">Verbale n. 05/2015 del 28 settembre 2015 </w:t>
      </w:r>
      <w:r w:rsidRPr="000F2E67">
        <w:rPr>
          <w:rFonts w:ascii="Times New Roman" w:eastAsia="Times New Roman" w:hAnsi="Times New Roman"/>
          <w:color w:val="222222"/>
          <w:sz w:val="20"/>
          <w:szCs w:val="20"/>
          <w:lang w:eastAsia="it-IT"/>
        </w:rPr>
        <w:t xml:space="preserve">si </w:t>
      </w:r>
      <w:r w:rsidR="000332C3" w:rsidRPr="000F2E67">
        <w:rPr>
          <w:rFonts w:ascii="Times New Roman" w:eastAsia="Times New Roman" w:hAnsi="Times New Roman"/>
          <w:color w:val="222222"/>
          <w:sz w:val="20"/>
          <w:szCs w:val="20"/>
          <w:lang w:eastAsia="it-IT"/>
        </w:rPr>
        <w:t>rileva l</w:t>
      </w:r>
      <w:r w:rsidR="00AE6898" w:rsidRPr="000F2E67">
        <w:rPr>
          <w:rFonts w:ascii="Times New Roman" w:eastAsia="Times New Roman" w:hAnsi="Times New Roman"/>
          <w:color w:val="222222"/>
          <w:sz w:val="20"/>
          <w:szCs w:val="20"/>
          <w:lang w:eastAsia="it-IT"/>
        </w:rPr>
        <w:t>’ipotesi c</w:t>
      </w:r>
      <w:r w:rsidR="000332C3" w:rsidRPr="000F2E67">
        <w:rPr>
          <w:rFonts w:ascii="Times New Roman" w:eastAsia="Times New Roman" w:hAnsi="Times New Roman"/>
          <w:color w:val="222222"/>
          <w:sz w:val="20"/>
          <w:szCs w:val="20"/>
          <w:lang w:eastAsia="it-IT"/>
        </w:rPr>
        <w:t>he il dipendente S</w:t>
      </w:r>
      <w:r w:rsidRPr="000F2E67">
        <w:rPr>
          <w:rFonts w:ascii="Times New Roman" w:eastAsia="Times New Roman" w:hAnsi="Times New Roman"/>
          <w:color w:val="222222"/>
          <w:sz w:val="20"/>
          <w:szCs w:val="20"/>
          <w:lang w:eastAsia="it-IT"/>
        </w:rPr>
        <w:t>.F.</w:t>
      </w:r>
      <w:r w:rsidR="000332C3" w:rsidRPr="000F2E67">
        <w:rPr>
          <w:rFonts w:ascii="Times New Roman" w:eastAsia="Times New Roman" w:hAnsi="Times New Roman"/>
          <w:color w:val="222222"/>
          <w:sz w:val="20"/>
          <w:szCs w:val="20"/>
          <w:lang w:eastAsia="it-IT"/>
        </w:rPr>
        <w:t xml:space="preserve"> si sia app</w:t>
      </w:r>
      <w:r w:rsidRPr="000F2E67">
        <w:rPr>
          <w:rFonts w:ascii="Times New Roman" w:eastAsia="Times New Roman" w:hAnsi="Times New Roman"/>
          <w:color w:val="222222"/>
          <w:sz w:val="20"/>
          <w:szCs w:val="20"/>
          <w:lang w:eastAsia="it-IT"/>
        </w:rPr>
        <w:t>ro</w:t>
      </w:r>
      <w:r w:rsidR="000332C3" w:rsidRPr="000F2E67">
        <w:rPr>
          <w:rFonts w:ascii="Times New Roman" w:eastAsia="Times New Roman" w:hAnsi="Times New Roman"/>
          <w:color w:val="222222"/>
          <w:sz w:val="20"/>
          <w:szCs w:val="20"/>
          <w:lang w:eastAsia="it-IT"/>
        </w:rPr>
        <w:t xml:space="preserve">priato indebitamente di </w:t>
      </w:r>
      <w:r w:rsidRPr="000F2E67">
        <w:rPr>
          <w:rFonts w:ascii="Times New Roman" w:eastAsia="Times New Roman" w:hAnsi="Times New Roman"/>
          <w:color w:val="222222"/>
          <w:sz w:val="20"/>
          <w:szCs w:val="20"/>
          <w:lang w:eastAsia="it-IT"/>
        </w:rPr>
        <w:t>una</w:t>
      </w:r>
      <w:r w:rsidR="000332C3" w:rsidRPr="000F2E67">
        <w:rPr>
          <w:rFonts w:ascii="Times New Roman" w:eastAsia="Times New Roman" w:hAnsi="Times New Roman"/>
          <w:color w:val="222222"/>
          <w:sz w:val="20"/>
          <w:szCs w:val="20"/>
          <w:lang w:eastAsia="it-IT"/>
        </w:rPr>
        <w:t xml:space="preserve"> quantità imprecisata di gasolio in qualità di sindaco del Comune di Marino </w:t>
      </w:r>
      <w:r w:rsidR="006B4575" w:rsidRPr="000F2E67">
        <w:rPr>
          <w:rFonts w:ascii="Times New Roman" w:eastAsia="Times New Roman" w:hAnsi="Times New Roman"/>
          <w:color w:val="222222"/>
          <w:sz w:val="20"/>
          <w:szCs w:val="20"/>
          <w:lang w:eastAsia="it-IT"/>
        </w:rPr>
        <w:t xml:space="preserve">mentre </w:t>
      </w:r>
      <w:r w:rsidR="000332C3" w:rsidRPr="000F2E67">
        <w:rPr>
          <w:rFonts w:ascii="Times New Roman" w:eastAsia="Times New Roman" w:hAnsi="Times New Roman"/>
          <w:color w:val="222222"/>
          <w:sz w:val="20"/>
          <w:szCs w:val="20"/>
          <w:lang w:eastAsia="it-IT"/>
        </w:rPr>
        <w:t xml:space="preserve">lo stesso </w:t>
      </w:r>
      <w:r w:rsidR="006B4575" w:rsidRPr="000F2E67">
        <w:rPr>
          <w:rFonts w:ascii="Times New Roman" w:eastAsia="Times New Roman" w:hAnsi="Times New Roman"/>
          <w:color w:val="222222"/>
          <w:sz w:val="20"/>
          <w:szCs w:val="20"/>
          <w:lang w:eastAsia="it-IT"/>
        </w:rPr>
        <w:t xml:space="preserve">era </w:t>
      </w:r>
      <w:r w:rsidR="000332C3" w:rsidRPr="000F2E67">
        <w:rPr>
          <w:rFonts w:ascii="Times New Roman" w:eastAsia="Times New Roman" w:hAnsi="Times New Roman"/>
          <w:color w:val="222222"/>
          <w:sz w:val="20"/>
          <w:szCs w:val="20"/>
          <w:lang w:eastAsia="it-IT"/>
        </w:rPr>
        <w:t>in aspettativa per la copertura di tale incarico.</w:t>
      </w:r>
    </w:p>
    <w:p w14:paraId="64649573" w14:textId="044301AE" w:rsidR="000332C3" w:rsidRPr="000F2E67" w:rsidRDefault="00244BD2" w:rsidP="00244BD2">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 xml:space="preserve">Nel successivo </w:t>
      </w:r>
      <w:r w:rsidR="000332C3" w:rsidRPr="000F2E67">
        <w:rPr>
          <w:rFonts w:ascii="Times New Roman" w:eastAsia="Times New Roman" w:hAnsi="Times New Roman"/>
          <w:color w:val="222222"/>
          <w:sz w:val="20"/>
          <w:szCs w:val="20"/>
          <w:lang w:eastAsia="it-IT"/>
        </w:rPr>
        <w:t xml:space="preserve">Verbale n. 06/2015 del 08 ottobre 2015 si </w:t>
      </w:r>
      <w:r w:rsidR="00CE27CD" w:rsidRPr="000F2E67">
        <w:rPr>
          <w:rFonts w:ascii="Times New Roman" w:eastAsia="Times New Roman" w:hAnsi="Times New Roman"/>
          <w:color w:val="222222"/>
          <w:sz w:val="20"/>
          <w:szCs w:val="20"/>
          <w:lang w:eastAsia="it-IT"/>
        </w:rPr>
        <w:t>prende</w:t>
      </w:r>
      <w:r w:rsidR="00AE6898" w:rsidRPr="000F2E67">
        <w:rPr>
          <w:rFonts w:ascii="Times New Roman" w:eastAsia="Times New Roman" w:hAnsi="Times New Roman"/>
          <w:color w:val="222222"/>
          <w:sz w:val="20"/>
          <w:szCs w:val="20"/>
          <w:lang w:eastAsia="it-IT"/>
        </w:rPr>
        <w:t>va</w:t>
      </w:r>
      <w:r w:rsidR="00CE27CD" w:rsidRPr="000F2E67">
        <w:rPr>
          <w:rFonts w:ascii="Times New Roman" w:eastAsia="Times New Roman" w:hAnsi="Times New Roman"/>
          <w:color w:val="222222"/>
          <w:sz w:val="20"/>
          <w:szCs w:val="20"/>
          <w:lang w:eastAsia="it-IT"/>
        </w:rPr>
        <w:t xml:space="preserve"> atto della </w:t>
      </w:r>
      <w:r w:rsidR="000332C3" w:rsidRPr="000F2E67">
        <w:rPr>
          <w:rFonts w:ascii="Times New Roman" w:eastAsia="Times New Roman" w:hAnsi="Times New Roman"/>
          <w:color w:val="222222"/>
          <w:sz w:val="20"/>
          <w:szCs w:val="20"/>
          <w:lang w:eastAsia="it-IT"/>
        </w:rPr>
        <w:t xml:space="preserve">nota del Commissario Prefettizio n. 46884 del 06 ottobre 2015 </w:t>
      </w:r>
      <w:r w:rsidRPr="000F2E67">
        <w:rPr>
          <w:rFonts w:ascii="Times New Roman" w:eastAsia="Times New Roman" w:hAnsi="Times New Roman"/>
          <w:color w:val="222222"/>
          <w:sz w:val="20"/>
          <w:szCs w:val="20"/>
          <w:lang w:eastAsia="it-IT"/>
        </w:rPr>
        <w:t xml:space="preserve">che </w:t>
      </w:r>
      <w:r w:rsidR="000332C3" w:rsidRPr="000F2E67">
        <w:rPr>
          <w:rFonts w:ascii="Times New Roman" w:eastAsia="Times New Roman" w:hAnsi="Times New Roman"/>
          <w:color w:val="222222"/>
          <w:sz w:val="20"/>
          <w:szCs w:val="20"/>
          <w:lang w:eastAsia="it-IT"/>
        </w:rPr>
        <w:t>riportava il dispositivo d</w:t>
      </w:r>
      <w:r w:rsidR="000F2E67" w:rsidRPr="000F2E67">
        <w:rPr>
          <w:rFonts w:ascii="Times New Roman" w:eastAsia="Times New Roman" w:hAnsi="Times New Roman"/>
          <w:color w:val="222222"/>
          <w:sz w:val="20"/>
          <w:szCs w:val="20"/>
          <w:lang w:eastAsia="it-IT"/>
        </w:rPr>
        <w:t>ella</w:t>
      </w:r>
      <w:r w:rsidR="000332C3" w:rsidRPr="000F2E67">
        <w:rPr>
          <w:rFonts w:ascii="Times New Roman" w:eastAsia="Times New Roman" w:hAnsi="Times New Roman"/>
          <w:color w:val="222222"/>
          <w:sz w:val="20"/>
          <w:szCs w:val="20"/>
          <w:lang w:eastAsia="it-IT"/>
        </w:rPr>
        <w:t xml:space="preserve"> sentenza del Tribunale di Velletri n. 7647/2015 RGNR 5519/15 </w:t>
      </w:r>
      <w:r w:rsidRPr="000F2E67">
        <w:rPr>
          <w:rFonts w:ascii="Times New Roman" w:eastAsia="Times New Roman" w:hAnsi="Times New Roman"/>
          <w:color w:val="222222"/>
          <w:sz w:val="20"/>
          <w:szCs w:val="20"/>
          <w:lang w:eastAsia="it-IT"/>
        </w:rPr>
        <w:t>RG GIP 30/09/2015 di cui</w:t>
      </w:r>
      <w:r w:rsidR="000332C3" w:rsidRPr="000F2E67">
        <w:rPr>
          <w:rFonts w:ascii="Times New Roman" w:eastAsia="Times New Roman" w:hAnsi="Times New Roman"/>
          <w:color w:val="222222"/>
          <w:sz w:val="20"/>
          <w:szCs w:val="20"/>
          <w:lang w:eastAsia="it-IT"/>
        </w:rPr>
        <w:t xml:space="preserve"> agli artt. 38-317 bis c.p.p., 445 comma 1 c.p.p., </w:t>
      </w:r>
      <w:r w:rsidR="00AE6898" w:rsidRPr="000F2E67">
        <w:rPr>
          <w:rFonts w:ascii="Times New Roman" w:eastAsia="Times New Roman" w:hAnsi="Times New Roman"/>
          <w:color w:val="222222"/>
          <w:sz w:val="20"/>
          <w:szCs w:val="20"/>
          <w:lang w:eastAsia="it-IT"/>
        </w:rPr>
        <w:t xml:space="preserve">che </w:t>
      </w:r>
      <w:r w:rsidR="006B4575" w:rsidRPr="000F2E67">
        <w:rPr>
          <w:rFonts w:ascii="Times New Roman" w:eastAsia="Times New Roman" w:hAnsi="Times New Roman"/>
          <w:color w:val="222222"/>
          <w:sz w:val="20"/>
          <w:szCs w:val="20"/>
          <w:lang w:eastAsia="it-IT"/>
        </w:rPr>
        <w:t xml:space="preserve">disponeva </w:t>
      </w:r>
      <w:r w:rsidR="00AE6898" w:rsidRPr="000F2E67">
        <w:rPr>
          <w:rFonts w:ascii="Times New Roman" w:eastAsia="Times New Roman" w:hAnsi="Times New Roman"/>
          <w:color w:val="222222"/>
          <w:sz w:val="20"/>
          <w:szCs w:val="20"/>
          <w:lang w:eastAsia="it-IT"/>
        </w:rPr>
        <w:t>l’</w:t>
      </w:r>
      <w:r w:rsidR="000332C3" w:rsidRPr="000F2E67">
        <w:rPr>
          <w:rFonts w:ascii="Times New Roman" w:eastAsia="Times New Roman" w:hAnsi="Times New Roman"/>
          <w:color w:val="222222"/>
          <w:sz w:val="20"/>
          <w:szCs w:val="20"/>
          <w:lang w:eastAsia="it-IT"/>
        </w:rPr>
        <w:t xml:space="preserve">interdizione </w:t>
      </w:r>
      <w:r w:rsidRPr="000F2E67">
        <w:rPr>
          <w:rFonts w:ascii="Times New Roman" w:eastAsia="Times New Roman" w:hAnsi="Times New Roman"/>
          <w:color w:val="222222"/>
          <w:sz w:val="20"/>
          <w:szCs w:val="20"/>
          <w:lang w:eastAsia="it-IT"/>
        </w:rPr>
        <w:t xml:space="preserve">dai pubblici uffici per </w:t>
      </w:r>
      <w:r w:rsidR="00AE6898" w:rsidRPr="000F2E67">
        <w:rPr>
          <w:rFonts w:ascii="Times New Roman" w:eastAsia="Times New Roman" w:hAnsi="Times New Roman"/>
          <w:color w:val="222222"/>
          <w:sz w:val="20"/>
          <w:szCs w:val="20"/>
          <w:lang w:eastAsia="it-IT"/>
        </w:rPr>
        <w:t xml:space="preserve">anni cinque di </w:t>
      </w:r>
      <w:r w:rsidRPr="000F2E67">
        <w:rPr>
          <w:rFonts w:ascii="Times New Roman" w:eastAsia="Times New Roman" w:hAnsi="Times New Roman"/>
          <w:color w:val="222222"/>
          <w:sz w:val="20"/>
          <w:szCs w:val="20"/>
          <w:lang w:eastAsia="it-IT"/>
        </w:rPr>
        <w:t>S. F.</w:t>
      </w:r>
      <w:r w:rsidR="00AE6898" w:rsidRPr="000F2E67">
        <w:rPr>
          <w:rFonts w:ascii="Times New Roman" w:eastAsia="Times New Roman" w:hAnsi="Times New Roman"/>
          <w:color w:val="222222"/>
          <w:sz w:val="20"/>
          <w:szCs w:val="20"/>
          <w:lang w:eastAsia="it-IT"/>
        </w:rPr>
        <w:t xml:space="preserve"> Per </w:t>
      </w:r>
      <w:r w:rsidR="00B8738D" w:rsidRPr="000F2E67">
        <w:rPr>
          <w:rFonts w:ascii="Times New Roman" w:eastAsia="Times New Roman" w:hAnsi="Times New Roman"/>
          <w:color w:val="222222"/>
          <w:sz w:val="20"/>
          <w:szCs w:val="20"/>
          <w:lang w:eastAsia="it-IT"/>
        </w:rPr>
        <w:t xml:space="preserve">tutti </w:t>
      </w:r>
      <w:r w:rsidR="00AE6898" w:rsidRPr="000F2E67">
        <w:rPr>
          <w:rFonts w:ascii="Times New Roman" w:eastAsia="Times New Roman" w:hAnsi="Times New Roman"/>
          <w:color w:val="222222"/>
          <w:sz w:val="20"/>
          <w:szCs w:val="20"/>
          <w:lang w:eastAsia="it-IT"/>
        </w:rPr>
        <w:t>i soggetti nominati dal GIP (S.F., R.S., C. W., Z. M. e S. A.) sono state avviate le contestazioni disciplinari</w:t>
      </w:r>
      <w:r w:rsidR="000332C3" w:rsidRPr="000F2E67">
        <w:rPr>
          <w:rFonts w:ascii="Times New Roman" w:eastAsia="Times New Roman" w:hAnsi="Times New Roman"/>
          <w:color w:val="222222"/>
          <w:sz w:val="20"/>
          <w:szCs w:val="20"/>
          <w:lang w:eastAsia="it-IT"/>
        </w:rPr>
        <w:t xml:space="preserve"> ex art. 7 L. 300/1970</w:t>
      </w:r>
      <w:r w:rsidR="00AE6898" w:rsidRPr="000F2E67">
        <w:rPr>
          <w:rFonts w:ascii="Times New Roman" w:eastAsia="Times New Roman" w:hAnsi="Times New Roman"/>
          <w:color w:val="222222"/>
          <w:sz w:val="20"/>
          <w:szCs w:val="20"/>
          <w:lang w:eastAsia="it-IT"/>
        </w:rPr>
        <w:t xml:space="preserve"> p</w:t>
      </w:r>
      <w:r w:rsidR="000332C3" w:rsidRPr="000F2E67">
        <w:rPr>
          <w:rFonts w:ascii="Times New Roman" w:eastAsia="Times New Roman" w:hAnsi="Times New Roman"/>
          <w:color w:val="222222"/>
          <w:sz w:val="20"/>
          <w:szCs w:val="20"/>
          <w:lang w:eastAsia="it-IT"/>
        </w:rPr>
        <w:t xml:space="preserve">er i reati </w:t>
      </w:r>
      <w:r w:rsidRPr="000F2E67">
        <w:rPr>
          <w:rFonts w:ascii="Times New Roman" w:eastAsia="Times New Roman" w:hAnsi="Times New Roman"/>
          <w:color w:val="222222"/>
          <w:sz w:val="20"/>
          <w:szCs w:val="20"/>
          <w:lang w:eastAsia="it-IT"/>
        </w:rPr>
        <w:t>di cui</w:t>
      </w:r>
      <w:r w:rsidR="000332C3" w:rsidRPr="000F2E67">
        <w:rPr>
          <w:rFonts w:ascii="Times New Roman" w:eastAsia="Times New Roman" w:hAnsi="Times New Roman"/>
          <w:color w:val="222222"/>
          <w:sz w:val="20"/>
          <w:szCs w:val="20"/>
          <w:lang w:eastAsia="it-IT"/>
        </w:rPr>
        <w:t xml:space="preserve"> agli artt. 110 e 314 c.p. </w:t>
      </w:r>
      <w:r w:rsidR="006B4575" w:rsidRPr="000F2E67">
        <w:rPr>
          <w:rFonts w:ascii="Times New Roman" w:eastAsia="Times New Roman" w:hAnsi="Times New Roman"/>
          <w:color w:val="222222"/>
          <w:sz w:val="20"/>
          <w:szCs w:val="20"/>
          <w:lang w:eastAsia="it-IT"/>
        </w:rPr>
        <w:t>Sulla vicenda, a</w:t>
      </w:r>
      <w:r w:rsidR="00AE6898" w:rsidRPr="000F2E67">
        <w:rPr>
          <w:rFonts w:ascii="Times New Roman" w:eastAsia="Times New Roman" w:hAnsi="Times New Roman"/>
          <w:color w:val="222222"/>
          <w:sz w:val="20"/>
          <w:szCs w:val="20"/>
          <w:lang w:eastAsia="it-IT"/>
        </w:rPr>
        <w:t>nche l’ANAC ha chiesto e ricevuto la relativa documentazione sulle vicende descritte.</w:t>
      </w:r>
    </w:p>
    <w:p w14:paraId="78299EF8" w14:textId="3322EF93" w:rsidR="000332C3" w:rsidRPr="000F2E67" w:rsidRDefault="00AE6898" w:rsidP="0074072A">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Infine, c</w:t>
      </w:r>
      <w:r w:rsidR="000332C3" w:rsidRPr="000F2E67">
        <w:rPr>
          <w:rFonts w:ascii="Times New Roman" w:eastAsia="Times New Roman" w:hAnsi="Times New Roman"/>
          <w:color w:val="222222"/>
          <w:sz w:val="20"/>
          <w:szCs w:val="20"/>
          <w:lang w:eastAsia="it-IT"/>
        </w:rPr>
        <w:t xml:space="preserve">on </w:t>
      </w:r>
      <w:r w:rsidRPr="000F2E67">
        <w:rPr>
          <w:rFonts w:ascii="Times New Roman" w:eastAsia="Times New Roman" w:hAnsi="Times New Roman"/>
          <w:color w:val="222222"/>
          <w:sz w:val="20"/>
          <w:szCs w:val="20"/>
          <w:lang w:eastAsia="it-IT"/>
        </w:rPr>
        <w:t xml:space="preserve">il </w:t>
      </w:r>
      <w:r w:rsidR="000332C3" w:rsidRPr="000F2E67">
        <w:rPr>
          <w:rFonts w:ascii="Times New Roman" w:eastAsia="Times New Roman" w:hAnsi="Times New Roman"/>
          <w:color w:val="222222"/>
          <w:sz w:val="20"/>
          <w:szCs w:val="20"/>
          <w:lang w:eastAsia="it-IT"/>
        </w:rPr>
        <w:t>Verbale n. 07/2015 del 19 ottobre 2015</w:t>
      </w:r>
      <w:r w:rsidRPr="000F2E67">
        <w:rPr>
          <w:rFonts w:ascii="Times New Roman" w:eastAsia="Times New Roman" w:hAnsi="Times New Roman"/>
          <w:color w:val="222222"/>
          <w:sz w:val="20"/>
          <w:szCs w:val="20"/>
          <w:lang w:eastAsia="it-IT"/>
        </w:rPr>
        <w:t xml:space="preserve"> si prendeva atto della nota di a</w:t>
      </w:r>
      <w:r w:rsidR="000332C3" w:rsidRPr="000F2E67">
        <w:rPr>
          <w:rFonts w:ascii="Times New Roman" w:eastAsia="Times New Roman" w:hAnsi="Times New Roman"/>
          <w:color w:val="222222"/>
          <w:sz w:val="20"/>
          <w:szCs w:val="20"/>
          <w:lang w:eastAsia="it-IT"/>
        </w:rPr>
        <w:t xml:space="preserve">ggiornamento del Commissario Prefettizio </w:t>
      </w:r>
      <w:r w:rsidR="00B8738D" w:rsidRPr="000F2E67">
        <w:rPr>
          <w:rFonts w:ascii="Times New Roman" w:eastAsia="Times New Roman" w:hAnsi="Times New Roman"/>
          <w:color w:val="222222"/>
          <w:sz w:val="20"/>
          <w:szCs w:val="20"/>
          <w:lang w:eastAsia="it-IT"/>
        </w:rPr>
        <w:t xml:space="preserve">con la quale </w:t>
      </w:r>
      <w:r w:rsidR="006B4575" w:rsidRPr="000F2E67">
        <w:rPr>
          <w:rFonts w:ascii="Times New Roman" w:eastAsia="Times New Roman" w:hAnsi="Times New Roman"/>
          <w:color w:val="222222"/>
          <w:sz w:val="20"/>
          <w:szCs w:val="20"/>
          <w:lang w:eastAsia="it-IT"/>
        </w:rPr>
        <w:t xml:space="preserve">il </w:t>
      </w:r>
      <w:r w:rsidR="000332C3" w:rsidRPr="000F2E67">
        <w:rPr>
          <w:rFonts w:ascii="Times New Roman" w:eastAsia="Times New Roman" w:hAnsi="Times New Roman"/>
          <w:color w:val="222222"/>
          <w:sz w:val="20"/>
          <w:szCs w:val="20"/>
          <w:lang w:eastAsia="it-IT"/>
        </w:rPr>
        <w:t>S</w:t>
      </w:r>
      <w:r w:rsidR="000320B5"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F</w:t>
      </w:r>
      <w:r w:rsidR="000320B5"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w:t>
      </w:r>
      <w:r w:rsidR="00B8738D" w:rsidRPr="000F2E67">
        <w:rPr>
          <w:rFonts w:ascii="Times New Roman" w:eastAsia="Times New Roman" w:hAnsi="Times New Roman"/>
          <w:color w:val="222222"/>
          <w:sz w:val="20"/>
          <w:szCs w:val="20"/>
          <w:lang w:eastAsia="it-IT"/>
        </w:rPr>
        <w:t xml:space="preserve">veniva condannato a </w:t>
      </w:r>
      <w:r w:rsidR="000332C3" w:rsidRPr="000F2E67">
        <w:rPr>
          <w:rFonts w:ascii="Times New Roman" w:eastAsia="Times New Roman" w:hAnsi="Times New Roman"/>
          <w:color w:val="222222"/>
          <w:sz w:val="20"/>
          <w:szCs w:val="20"/>
          <w:lang w:eastAsia="it-IT"/>
        </w:rPr>
        <w:t xml:space="preserve">due anni e sei mesi di reclusione </w:t>
      </w:r>
      <w:r w:rsidR="00B8738D" w:rsidRPr="000F2E67">
        <w:rPr>
          <w:rFonts w:ascii="Times New Roman" w:eastAsia="Times New Roman" w:hAnsi="Times New Roman"/>
          <w:color w:val="222222"/>
          <w:sz w:val="20"/>
          <w:szCs w:val="20"/>
          <w:lang w:eastAsia="it-IT"/>
        </w:rPr>
        <w:t>con</w:t>
      </w:r>
      <w:r w:rsidR="000332C3" w:rsidRPr="000F2E67">
        <w:rPr>
          <w:rFonts w:ascii="Times New Roman" w:eastAsia="Times New Roman" w:hAnsi="Times New Roman"/>
          <w:color w:val="222222"/>
          <w:sz w:val="20"/>
          <w:szCs w:val="20"/>
          <w:lang w:eastAsia="it-IT"/>
        </w:rPr>
        <w:t xml:space="preserve"> l'interdizione dai pubblici uffic</w:t>
      </w:r>
      <w:r w:rsidR="0074072A" w:rsidRPr="000F2E67">
        <w:rPr>
          <w:rFonts w:ascii="Times New Roman" w:eastAsia="Times New Roman" w:hAnsi="Times New Roman"/>
          <w:color w:val="222222"/>
          <w:sz w:val="20"/>
          <w:szCs w:val="20"/>
          <w:lang w:eastAsia="it-IT"/>
        </w:rPr>
        <w:t>i per anni cinque</w:t>
      </w:r>
      <w:r w:rsidR="00B8738D" w:rsidRPr="000F2E67">
        <w:rPr>
          <w:rFonts w:ascii="Times New Roman" w:eastAsia="Times New Roman" w:hAnsi="Times New Roman"/>
          <w:color w:val="222222"/>
          <w:sz w:val="20"/>
          <w:szCs w:val="20"/>
          <w:lang w:eastAsia="it-IT"/>
        </w:rPr>
        <w:t>. A seguito della predetta sentenza la società ha</w:t>
      </w:r>
      <w:r w:rsidR="0074072A" w:rsidRPr="000F2E67">
        <w:rPr>
          <w:rFonts w:ascii="Times New Roman" w:eastAsia="Times New Roman" w:hAnsi="Times New Roman"/>
          <w:color w:val="222222"/>
          <w:sz w:val="20"/>
          <w:szCs w:val="20"/>
          <w:lang w:eastAsia="it-IT"/>
        </w:rPr>
        <w:t xml:space="preserve"> deliberato </w:t>
      </w:r>
      <w:r w:rsidR="00B8738D" w:rsidRPr="000F2E67">
        <w:rPr>
          <w:rFonts w:ascii="Times New Roman" w:eastAsia="Times New Roman" w:hAnsi="Times New Roman"/>
          <w:color w:val="222222"/>
          <w:sz w:val="20"/>
          <w:szCs w:val="20"/>
          <w:lang w:eastAsia="it-IT"/>
        </w:rPr>
        <w:t xml:space="preserve">il </w:t>
      </w:r>
      <w:r w:rsidR="0074072A" w:rsidRPr="000F2E67">
        <w:rPr>
          <w:rFonts w:ascii="Times New Roman" w:eastAsia="Times New Roman" w:hAnsi="Times New Roman"/>
          <w:color w:val="222222"/>
          <w:sz w:val="20"/>
          <w:szCs w:val="20"/>
          <w:lang w:eastAsia="it-IT"/>
        </w:rPr>
        <w:t>li</w:t>
      </w:r>
      <w:r w:rsidR="000332C3" w:rsidRPr="000F2E67">
        <w:rPr>
          <w:rFonts w:ascii="Times New Roman" w:eastAsia="Times New Roman" w:hAnsi="Times New Roman"/>
          <w:color w:val="222222"/>
          <w:sz w:val="20"/>
          <w:szCs w:val="20"/>
          <w:lang w:eastAsia="it-IT"/>
        </w:rPr>
        <w:t>cenziamento per giusta causa senza preavviso</w:t>
      </w:r>
      <w:r w:rsidR="00B8738D" w:rsidRPr="000F2E67">
        <w:rPr>
          <w:rFonts w:ascii="Times New Roman" w:eastAsia="Times New Roman" w:hAnsi="Times New Roman"/>
          <w:color w:val="222222"/>
          <w:sz w:val="20"/>
          <w:szCs w:val="20"/>
          <w:lang w:eastAsia="it-IT"/>
        </w:rPr>
        <w:t xml:space="preserve"> di S. F. Inoltre, si evidenzia la s</w:t>
      </w:r>
      <w:r w:rsidR="000332C3" w:rsidRPr="000F2E67">
        <w:rPr>
          <w:rFonts w:ascii="Times New Roman" w:eastAsia="Times New Roman" w:hAnsi="Times New Roman"/>
          <w:color w:val="222222"/>
          <w:sz w:val="20"/>
          <w:szCs w:val="20"/>
          <w:lang w:eastAsia="it-IT"/>
        </w:rPr>
        <w:t>ospensione dal ser</w:t>
      </w:r>
      <w:r w:rsidR="00731544" w:rsidRPr="000F2E67">
        <w:rPr>
          <w:rFonts w:ascii="Times New Roman" w:eastAsia="Times New Roman" w:hAnsi="Times New Roman"/>
          <w:color w:val="222222"/>
          <w:sz w:val="20"/>
          <w:szCs w:val="20"/>
          <w:lang w:eastAsia="it-IT"/>
        </w:rPr>
        <w:t>vizio e dalla retribuzione per </w:t>
      </w:r>
      <w:r w:rsidR="000332C3" w:rsidRPr="000F2E67">
        <w:rPr>
          <w:rFonts w:ascii="Times New Roman" w:eastAsia="Times New Roman" w:hAnsi="Times New Roman"/>
          <w:color w:val="222222"/>
          <w:sz w:val="20"/>
          <w:szCs w:val="20"/>
          <w:lang w:eastAsia="it-IT"/>
        </w:rPr>
        <w:t>R</w:t>
      </w:r>
      <w:r w:rsidR="00B8738D"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S</w:t>
      </w:r>
      <w:r w:rsidR="00B8738D" w:rsidRPr="000F2E67">
        <w:rPr>
          <w:rFonts w:ascii="Times New Roman" w:eastAsia="Times New Roman" w:hAnsi="Times New Roman"/>
          <w:color w:val="222222"/>
          <w:sz w:val="20"/>
          <w:szCs w:val="20"/>
          <w:lang w:eastAsia="it-IT"/>
        </w:rPr>
        <w:t xml:space="preserve">. per </w:t>
      </w:r>
      <w:r w:rsidR="000332C3" w:rsidRPr="000F2E67">
        <w:rPr>
          <w:rFonts w:ascii="Times New Roman" w:eastAsia="Times New Roman" w:hAnsi="Times New Roman"/>
          <w:color w:val="222222"/>
          <w:sz w:val="20"/>
          <w:szCs w:val="20"/>
          <w:lang w:eastAsia="it-IT"/>
        </w:rPr>
        <w:t>giorni sei</w:t>
      </w:r>
      <w:r w:rsidR="00B8738D" w:rsidRPr="000F2E67">
        <w:rPr>
          <w:rFonts w:ascii="Times New Roman" w:eastAsia="Times New Roman" w:hAnsi="Times New Roman"/>
          <w:color w:val="222222"/>
          <w:sz w:val="20"/>
          <w:szCs w:val="20"/>
          <w:lang w:eastAsia="it-IT"/>
        </w:rPr>
        <w:t>, la s</w:t>
      </w:r>
      <w:r w:rsidR="000332C3" w:rsidRPr="000F2E67">
        <w:rPr>
          <w:rFonts w:ascii="Times New Roman" w:eastAsia="Times New Roman" w:hAnsi="Times New Roman"/>
          <w:color w:val="222222"/>
          <w:sz w:val="20"/>
          <w:szCs w:val="20"/>
          <w:lang w:eastAsia="it-IT"/>
        </w:rPr>
        <w:t xml:space="preserve">ospensione dal servizio e </w:t>
      </w:r>
      <w:r w:rsidR="000F2E67" w:rsidRPr="000F2E67">
        <w:rPr>
          <w:rFonts w:ascii="Times New Roman" w:eastAsia="Times New Roman" w:hAnsi="Times New Roman"/>
          <w:color w:val="222222"/>
          <w:sz w:val="20"/>
          <w:szCs w:val="20"/>
          <w:lang w:eastAsia="it-IT"/>
        </w:rPr>
        <w:t xml:space="preserve">retribuzione per giorni tre a </w:t>
      </w:r>
      <w:r w:rsidR="000332C3" w:rsidRPr="000F2E67">
        <w:rPr>
          <w:rFonts w:ascii="Times New Roman" w:eastAsia="Times New Roman" w:hAnsi="Times New Roman"/>
          <w:color w:val="222222"/>
          <w:sz w:val="20"/>
          <w:szCs w:val="20"/>
          <w:lang w:eastAsia="it-IT"/>
        </w:rPr>
        <w:t>Z</w:t>
      </w:r>
      <w:r w:rsidR="00B8738D"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M</w:t>
      </w:r>
      <w:r w:rsidR="00B8738D"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S</w:t>
      </w:r>
      <w:r w:rsidR="00731544" w:rsidRPr="000F2E67">
        <w:rPr>
          <w:rFonts w:ascii="Times New Roman" w:eastAsia="Times New Roman" w:hAnsi="Times New Roman"/>
          <w:color w:val="222222"/>
          <w:sz w:val="20"/>
          <w:szCs w:val="20"/>
          <w:lang w:eastAsia="it-IT"/>
        </w:rPr>
        <w:t xml:space="preserve">. </w:t>
      </w:r>
      <w:r w:rsidR="000332C3" w:rsidRPr="000F2E67">
        <w:rPr>
          <w:rFonts w:ascii="Times New Roman" w:eastAsia="Times New Roman" w:hAnsi="Times New Roman"/>
          <w:color w:val="222222"/>
          <w:sz w:val="20"/>
          <w:szCs w:val="20"/>
          <w:lang w:eastAsia="it-IT"/>
        </w:rPr>
        <w:t>A</w:t>
      </w:r>
      <w:r w:rsidR="00731544"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C</w:t>
      </w:r>
      <w:r w:rsidR="00731544" w:rsidRPr="000F2E67">
        <w:rPr>
          <w:rFonts w:ascii="Times New Roman" w:eastAsia="Times New Roman" w:hAnsi="Times New Roman"/>
          <w:color w:val="222222"/>
          <w:sz w:val="20"/>
          <w:szCs w:val="20"/>
          <w:lang w:eastAsia="it-IT"/>
        </w:rPr>
        <w:t>.</w:t>
      </w:r>
      <w:r w:rsidR="000332C3" w:rsidRPr="000F2E67">
        <w:rPr>
          <w:rFonts w:ascii="Times New Roman" w:eastAsia="Times New Roman" w:hAnsi="Times New Roman"/>
          <w:color w:val="222222"/>
          <w:sz w:val="20"/>
          <w:szCs w:val="20"/>
          <w:lang w:eastAsia="it-IT"/>
        </w:rPr>
        <w:t xml:space="preserve"> W</w:t>
      </w:r>
      <w:r w:rsidR="00731544" w:rsidRPr="000F2E67">
        <w:rPr>
          <w:rFonts w:ascii="Times New Roman" w:eastAsia="Times New Roman" w:hAnsi="Times New Roman"/>
          <w:color w:val="222222"/>
          <w:sz w:val="20"/>
          <w:szCs w:val="20"/>
          <w:lang w:eastAsia="it-IT"/>
        </w:rPr>
        <w:t>.</w:t>
      </w:r>
    </w:p>
    <w:p w14:paraId="592E0417" w14:textId="6F93EEE2" w:rsidR="00731544" w:rsidRPr="000320B5" w:rsidRDefault="00731544" w:rsidP="0074072A">
      <w:pPr>
        <w:shd w:val="clear" w:color="auto" w:fill="FFFFFF"/>
        <w:spacing w:after="0" w:line="240" w:lineRule="auto"/>
        <w:jc w:val="both"/>
        <w:rPr>
          <w:rFonts w:ascii="Times New Roman" w:eastAsia="Times New Roman" w:hAnsi="Times New Roman"/>
          <w:color w:val="222222"/>
          <w:sz w:val="20"/>
          <w:szCs w:val="20"/>
          <w:lang w:eastAsia="it-IT"/>
        </w:rPr>
      </w:pPr>
      <w:r w:rsidRPr="000F2E67">
        <w:rPr>
          <w:rFonts w:ascii="Times New Roman" w:eastAsia="Times New Roman" w:hAnsi="Times New Roman"/>
          <w:color w:val="222222"/>
          <w:sz w:val="20"/>
          <w:szCs w:val="20"/>
          <w:lang w:eastAsia="it-IT"/>
        </w:rPr>
        <w:t>A seguito degli eventi evidenziati, la società ha potenziato le procedure operative e di controllo al fine di evitare</w:t>
      </w:r>
      <w:r>
        <w:rPr>
          <w:rFonts w:ascii="Times New Roman" w:eastAsia="Times New Roman" w:hAnsi="Times New Roman"/>
          <w:color w:val="222222"/>
          <w:sz w:val="20"/>
          <w:szCs w:val="20"/>
          <w:lang w:eastAsia="it-IT"/>
        </w:rPr>
        <w:t xml:space="preserve"> il ripetersi dei reati ascritti ai dipendenti citati al fine di prevenire i relativi danni </w:t>
      </w:r>
      <w:r w:rsidR="000F2E67">
        <w:rPr>
          <w:rFonts w:ascii="Times New Roman" w:eastAsia="Times New Roman" w:hAnsi="Times New Roman"/>
          <w:color w:val="222222"/>
          <w:sz w:val="20"/>
          <w:szCs w:val="20"/>
          <w:lang w:eastAsia="it-IT"/>
        </w:rPr>
        <w:t xml:space="preserve">economici e di immagine </w:t>
      </w:r>
      <w:r>
        <w:rPr>
          <w:rFonts w:ascii="Times New Roman" w:eastAsia="Times New Roman" w:hAnsi="Times New Roman"/>
          <w:color w:val="222222"/>
          <w:sz w:val="20"/>
          <w:szCs w:val="20"/>
          <w:lang w:eastAsia="it-IT"/>
        </w:rPr>
        <w:t>alla società ed ai cittadini del Comune di Marino.</w:t>
      </w:r>
    </w:p>
    <w:p w14:paraId="5EDBFAB4" w14:textId="77777777" w:rsidR="000332C3" w:rsidRPr="000320B5" w:rsidRDefault="000332C3" w:rsidP="00603F3F">
      <w:pPr>
        <w:widowControl w:val="0"/>
        <w:autoSpaceDE w:val="0"/>
        <w:autoSpaceDN w:val="0"/>
        <w:adjustRightInd w:val="0"/>
        <w:spacing w:after="0"/>
        <w:jc w:val="both"/>
        <w:rPr>
          <w:rFonts w:ascii="Times New Roman" w:hAnsi="Times New Roman"/>
          <w:color w:val="000000"/>
          <w:sz w:val="20"/>
          <w:szCs w:val="20"/>
        </w:rPr>
      </w:pPr>
    </w:p>
    <w:p w14:paraId="3ED15410" w14:textId="77777777" w:rsidR="00603F3F" w:rsidRPr="00531BD0" w:rsidRDefault="00603F3F" w:rsidP="00603F3F">
      <w:pPr>
        <w:pStyle w:val="Titolo2"/>
        <w:keepNext w:val="0"/>
        <w:spacing w:line="276" w:lineRule="auto"/>
        <w:ind w:left="284" w:hanging="284"/>
        <w:rPr>
          <w:color w:val="0070C0"/>
        </w:rPr>
      </w:pPr>
      <w:bookmarkStart w:id="210" w:name="_Toc473547379"/>
      <w:bookmarkStart w:id="211" w:name="_Toc535854404"/>
      <w:r w:rsidRPr="00531BD0">
        <w:rPr>
          <w:color w:val="0070C0"/>
        </w:rPr>
        <w:t>Il contesto interno</w:t>
      </w:r>
      <w:bookmarkEnd w:id="210"/>
      <w:bookmarkEnd w:id="211"/>
    </w:p>
    <w:p w14:paraId="7F92C9A4" w14:textId="74E3F05D"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concerne, invece l’analisi del contesto interno, in ossequio alle previsioni di cui all’art. 1 comma 5 lett. a) della legge n. 190/2012 e di quanto indicato nell’allegato n. 2 al P.N.A., si riporta l’Organizzazione aziendale, l’Organigramma e le attività svolte dalla </w:t>
      </w:r>
      <w:r>
        <w:rPr>
          <w:rFonts w:ascii="Times New Roman" w:hAnsi="Times New Roman"/>
          <w:color w:val="000000"/>
          <w:sz w:val="20"/>
          <w:szCs w:val="20"/>
          <w:lang w:eastAsia="it-IT"/>
        </w:rPr>
        <w:t>società</w:t>
      </w:r>
      <w:r w:rsidR="00A83364">
        <w:rPr>
          <w:rFonts w:ascii="Times New Roman" w:hAnsi="Times New Roman"/>
          <w:color w:val="000000"/>
          <w:sz w:val="20"/>
          <w:szCs w:val="20"/>
          <w:lang w:eastAsia="it-IT"/>
        </w:rPr>
        <w:t xml:space="preserve"> per conto del Comune di Marino</w:t>
      </w:r>
      <w:r w:rsidRPr="00CD7FBE">
        <w:rPr>
          <w:rFonts w:ascii="Times New Roman" w:hAnsi="Times New Roman"/>
          <w:color w:val="000000"/>
          <w:sz w:val="20"/>
          <w:szCs w:val="20"/>
          <w:lang w:eastAsia="it-IT"/>
        </w:rPr>
        <w:t xml:space="preserve">. </w:t>
      </w:r>
    </w:p>
    <w:p w14:paraId="678913C6" w14:textId="3B45A808" w:rsidR="007D68EB" w:rsidRDefault="007D68EB" w:rsidP="00603F3F">
      <w:pPr>
        <w:widowControl w:val="0"/>
        <w:autoSpaceDE w:val="0"/>
        <w:autoSpaceDN w:val="0"/>
        <w:adjustRightInd w:val="0"/>
        <w:spacing w:after="0"/>
        <w:jc w:val="both"/>
        <w:rPr>
          <w:rFonts w:ascii="Times New Roman" w:hAnsi="Times New Roman"/>
          <w:color w:val="000000"/>
          <w:sz w:val="20"/>
          <w:szCs w:val="20"/>
          <w:lang w:eastAsia="it-IT"/>
        </w:rPr>
      </w:pPr>
    </w:p>
    <w:p w14:paraId="7A4C18DE" w14:textId="77777777" w:rsidR="007D68EB" w:rsidRPr="00CD7FBE" w:rsidRDefault="007D68EB" w:rsidP="00603F3F">
      <w:pPr>
        <w:widowControl w:val="0"/>
        <w:autoSpaceDE w:val="0"/>
        <w:autoSpaceDN w:val="0"/>
        <w:adjustRightInd w:val="0"/>
        <w:spacing w:after="0"/>
        <w:jc w:val="both"/>
        <w:rPr>
          <w:rFonts w:ascii="Times New Roman" w:hAnsi="Times New Roman"/>
          <w:color w:val="000000"/>
          <w:sz w:val="20"/>
          <w:szCs w:val="20"/>
          <w:lang w:eastAsia="it-IT"/>
        </w:rPr>
      </w:pPr>
    </w:p>
    <w:p w14:paraId="3D4EA4FF"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D1C8D67" w14:textId="77777777" w:rsidR="00603F3F" w:rsidRPr="0080666F" w:rsidRDefault="00603F3F" w:rsidP="00634834">
      <w:pPr>
        <w:pStyle w:val="Titolo3"/>
        <w:keepNext w:val="0"/>
        <w:widowControl w:val="0"/>
        <w:numPr>
          <w:ilvl w:val="1"/>
          <w:numId w:val="31"/>
        </w:numPr>
        <w:spacing w:after="60" w:line="276" w:lineRule="auto"/>
        <w:ind w:left="425" w:hanging="425"/>
        <w:contextualSpacing w:val="0"/>
      </w:pPr>
      <w:bookmarkStart w:id="212" w:name="_Toc454796203"/>
      <w:bookmarkStart w:id="213" w:name="_Toc454796265"/>
      <w:bookmarkStart w:id="214" w:name="_Toc473547380"/>
      <w:bookmarkStart w:id="215" w:name="_Toc535854405"/>
      <w:r w:rsidRPr="0080666F">
        <w:t>L’</w:t>
      </w:r>
      <w:bookmarkEnd w:id="212"/>
      <w:bookmarkEnd w:id="213"/>
      <w:r w:rsidRPr="0080666F">
        <w:t>organizzazione</w:t>
      </w:r>
      <w:bookmarkEnd w:id="214"/>
      <w:bookmarkEnd w:id="215"/>
      <w:r w:rsidRPr="0080666F">
        <w:t xml:space="preserve"> </w:t>
      </w:r>
    </w:p>
    <w:p w14:paraId="48F94388" w14:textId="12864D40" w:rsidR="00603F3F" w:rsidRPr="00634834" w:rsidRDefault="003547C2" w:rsidP="00634834">
      <w:pPr>
        <w:widowControl w:val="0"/>
        <w:autoSpaceDE w:val="0"/>
        <w:autoSpaceDN w:val="0"/>
        <w:adjustRightInd w:val="0"/>
        <w:spacing w:after="0"/>
        <w:jc w:val="both"/>
        <w:rPr>
          <w:rFonts w:ascii="Times New Roman" w:hAnsi="Times New Roman"/>
          <w:i/>
          <w:sz w:val="20"/>
          <w:szCs w:val="20"/>
        </w:rPr>
      </w:pPr>
      <w:r w:rsidRPr="0084697D">
        <w:rPr>
          <w:rFonts w:ascii="Times New Roman" w:hAnsi="Times New Roman"/>
          <w:sz w:val="20"/>
          <w:szCs w:val="20"/>
        </w:rPr>
        <w:t>A norma dello Statuto all’art</w:t>
      </w:r>
      <w:r>
        <w:rPr>
          <w:rFonts w:ascii="Times New Roman" w:hAnsi="Times New Roman"/>
          <w:sz w:val="20"/>
          <w:szCs w:val="20"/>
        </w:rPr>
        <w:t>.1</w:t>
      </w:r>
      <w:r w:rsidR="00634834">
        <w:rPr>
          <w:rFonts w:ascii="Times New Roman" w:hAnsi="Times New Roman"/>
          <w:sz w:val="20"/>
          <w:szCs w:val="20"/>
        </w:rPr>
        <w:t xml:space="preserve">: </w:t>
      </w:r>
      <w:r w:rsidR="00634834" w:rsidRPr="00634834">
        <w:rPr>
          <w:rFonts w:ascii="Times New Roman" w:hAnsi="Times New Roman"/>
          <w:i/>
          <w:sz w:val="20"/>
          <w:szCs w:val="20"/>
        </w:rPr>
        <w:t>è</w:t>
      </w:r>
      <w:r w:rsidRPr="00634834">
        <w:rPr>
          <w:rFonts w:ascii="Times New Roman" w:hAnsi="Times New Roman"/>
          <w:i/>
          <w:sz w:val="20"/>
          <w:szCs w:val="20"/>
        </w:rPr>
        <w:t xml:space="preserve"> costituita una società per azioni denominata “Multiservizi dei Castelli di Marino S.p.A., a totale capitale pubblico locale, interamente versato.</w:t>
      </w:r>
    </w:p>
    <w:p w14:paraId="1BF302B7" w14:textId="2A792FF4" w:rsidR="003547C2" w:rsidRPr="00634834" w:rsidRDefault="003547C2" w:rsidP="00603F3F">
      <w:pPr>
        <w:widowControl w:val="0"/>
        <w:autoSpaceDE w:val="0"/>
        <w:autoSpaceDN w:val="0"/>
        <w:adjustRightInd w:val="0"/>
        <w:spacing w:after="0"/>
        <w:rPr>
          <w:rFonts w:ascii="Times New Roman" w:hAnsi="Times New Roman"/>
          <w:i/>
          <w:sz w:val="20"/>
          <w:szCs w:val="20"/>
        </w:rPr>
      </w:pPr>
      <w:r w:rsidRPr="00634834">
        <w:rPr>
          <w:rFonts w:ascii="Times New Roman" w:hAnsi="Times New Roman"/>
          <w:i/>
          <w:sz w:val="20"/>
          <w:szCs w:val="20"/>
        </w:rPr>
        <w:t>È fatto divieto di apertura al capitale privato.</w:t>
      </w:r>
    </w:p>
    <w:p w14:paraId="06317817" w14:textId="3DB5BA2A" w:rsidR="003547C2" w:rsidRPr="00634834" w:rsidRDefault="003547C2" w:rsidP="00634834">
      <w:pPr>
        <w:widowControl w:val="0"/>
        <w:autoSpaceDE w:val="0"/>
        <w:autoSpaceDN w:val="0"/>
        <w:adjustRightInd w:val="0"/>
        <w:spacing w:after="0"/>
        <w:jc w:val="both"/>
        <w:rPr>
          <w:rFonts w:ascii="Times New Roman" w:hAnsi="Times New Roman"/>
          <w:i/>
          <w:sz w:val="20"/>
          <w:szCs w:val="20"/>
        </w:rPr>
      </w:pPr>
      <w:r w:rsidRPr="00634834">
        <w:rPr>
          <w:rFonts w:ascii="Times New Roman" w:hAnsi="Times New Roman"/>
          <w:i/>
          <w:sz w:val="20"/>
          <w:szCs w:val="20"/>
        </w:rPr>
        <w:t>Il/I soci/o esercitano il controllo sulla società tramite la partecipazione ai relativi organi e nel rispetto di quanto previsto</w:t>
      </w:r>
      <w:r w:rsidR="00634834" w:rsidRPr="00634834">
        <w:rPr>
          <w:rFonts w:ascii="Times New Roman" w:hAnsi="Times New Roman"/>
          <w:i/>
          <w:sz w:val="20"/>
          <w:szCs w:val="20"/>
        </w:rPr>
        <w:t xml:space="preserve"> in materia di affidamenti in house providing, di cui all’ordinamento comunitario e nazionale.</w:t>
      </w:r>
    </w:p>
    <w:p w14:paraId="7FB3B033" w14:textId="6E399044" w:rsidR="00634834" w:rsidRDefault="00634834" w:rsidP="00634834">
      <w:pPr>
        <w:widowControl w:val="0"/>
        <w:autoSpaceDE w:val="0"/>
        <w:autoSpaceDN w:val="0"/>
        <w:adjustRightInd w:val="0"/>
        <w:spacing w:after="0"/>
        <w:jc w:val="both"/>
        <w:rPr>
          <w:rFonts w:ascii="Times New Roman" w:hAnsi="Times New Roman"/>
          <w:i/>
          <w:sz w:val="20"/>
          <w:szCs w:val="20"/>
        </w:rPr>
      </w:pPr>
      <w:r w:rsidRPr="00634834">
        <w:rPr>
          <w:rFonts w:ascii="Times New Roman" w:hAnsi="Times New Roman"/>
          <w:i/>
          <w:sz w:val="20"/>
          <w:szCs w:val="20"/>
        </w:rPr>
        <w:t>Ai fi</w:t>
      </w:r>
      <w:r>
        <w:rPr>
          <w:rFonts w:ascii="Times New Roman" w:hAnsi="Times New Roman"/>
          <w:i/>
          <w:sz w:val="20"/>
          <w:szCs w:val="20"/>
        </w:rPr>
        <w:t>ni di cui al precedente comma, gli eventuali enti locali soci stipulano una convenzione le cui disposizioni saranno vincolanti per la società dal momento in cui la convenzione verrà ad essa formalmente comunicata.</w:t>
      </w:r>
    </w:p>
    <w:p w14:paraId="14A1A117" w14:textId="77777777" w:rsidR="00634834" w:rsidRDefault="00634834" w:rsidP="00634834">
      <w:pPr>
        <w:widowControl w:val="0"/>
        <w:autoSpaceDE w:val="0"/>
        <w:autoSpaceDN w:val="0"/>
        <w:adjustRightInd w:val="0"/>
        <w:spacing w:after="0"/>
        <w:jc w:val="both"/>
        <w:rPr>
          <w:rFonts w:ascii="Times New Roman" w:hAnsi="Times New Roman"/>
          <w:i/>
          <w:sz w:val="20"/>
          <w:szCs w:val="20"/>
        </w:rPr>
      </w:pPr>
      <w:r>
        <w:rPr>
          <w:rFonts w:ascii="Times New Roman" w:hAnsi="Times New Roman"/>
          <w:i/>
          <w:sz w:val="20"/>
          <w:szCs w:val="20"/>
        </w:rPr>
        <w:t>La società è soggetta alla direzione e coordinamento da parte degli Enti locali soci.</w:t>
      </w:r>
    </w:p>
    <w:p w14:paraId="31607CDC" w14:textId="36D218BB" w:rsidR="00634834" w:rsidRPr="00634834" w:rsidRDefault="00634834" w:rsidP="00634834">
      <w:pPr>
        <w:widowControl w:val="0"/>
        <w:autoSpaceDE w:val="0"/>
        <w:autoSpaceDN w:val="0"/>
        <w:adjustRightInd w:val="0"/>
        <w:spacing w:after="0"/>
        <w:jc w:val="both"/>
        <w:rPr>
          <w:rFonts w:ascii="Times New Roman" w:hAnsi="Times New Roman"/>
          <w:i/>
          <w:sz w:val="20"/>
          <w:szCs w:val="20"/>
        </w:rPr>
      </w:pPr>
      <w:r>
        <w:rPr>
          <w:rFonts w:ascii="Times New Roman" w:hAnsi="Times New Roman"/>
          <w:sz w:val="20"/>
          <w:szCs w:val="20"/>
        </w:rPr>
        <w:t xml:space="preserve">Ai sensi dell’art. 3 dello Statuto </w:t>
      </w:r>
      <w:r w:rsidRPr="00E76DDA">
        <w:rPr>
          <w:rFonts w:ascii="Times New Roman" w:hAnsi="Times New Roman"/>
          <w:i/>
          <w:sz w:val="20"/>
          <w:szCs w:val="20"/>
        </w:rPr>
        <w:t>la durata della società è fissata fino al 31 dicembre 2050 e potrà essere prorogata una o più volte con decisione dei soci, come pure anticipata, con deliberazione dell’assemblea straordinaria soci.</w:t>
      </w:r>
      <w:r>
        <w:rPr>
          <w:rFonts w:ascii="Times New Roman" w:hAnsi="Times New Roman"/>
          <w:i/>
          <w:sz w:val="20"/>
          <w:szCs w:val="20"/>
        </w:rPr>
        <w:t xml:space="preserve"> </w:t>
      </w:r>
    </w:p>
    <w:p w14:paraId="48B26F19" w14:textId="653D1C09" w:rsidR="00603F3F" w:rsidRDefault="000536BB" w:rsidP="001A4D0A">
      <w:pPr>
        <w:widowControl w:val="0"/>
        <w:spacing w:after="0"/>
        <w:ind w:left="567" w:hanging="567"/>
        <w:jc w:val="both"/>
        <w:rPr>
          <w:rFonts w:ascii="Times New Roman" w:hAnsi="Times New Roman"/>
          <w:sz w:val="20"/>
          <w:szCs w:val="20"/>
        </w:rPr>
      </w:pPr>
      <w:r>
        <w:rPr>
          <w:rFonts w:ascii="Times New Roman" w:hAnsi="Times New Roman"/>
          <w:sz w:val="20"/>
          <w:szCs w:val="20"/>
        </w:rPr>
        <w:t>L’oggetto della società si evince dall’art. 4 dello Statuto:</w:t>
      </w:r>
    </w:p>
    <w:p w14:paraId="46885CE3" w14:textId="77777777" w:rsidR="00AA4995" w:rsidRPr="00AA4995" w:rsidRDefault="00AA4995" w:rsidP="00AA4995">
      <w:pPr>
        <w:widowControl w:val="0"/>
        <w:spacing w:after="0"/>
        <w:ind w:left="567" w:hanging="567"/>
        <w:jc w:val="both"/>
        <w:rPr>
          <w:rFonts w:ascii="Times New Roman" w:hAnsi="Times New Roman"/>
          <w:i/>
          <w:sz w:val="20"/>
          <w:szCs w:val="20"/>
        </w:rPr>
      </w:pPr>
      <w:r>
        <w:rPr>
          <w:rFonts w:ascii="Times New Roman" w:hAnsi="Times New Roman"/>
          <w:sz w:val="20"/>
          <w:szCs w:val="20"/>
        </w:rPr>
        <w:t xml:space="preserve">- </w:t>
      </w:r>
      <w:r w:rsidRPr="00AA4995">
        <w:rPr>
          <w:rFonts w:ascii="Times New Roman" w:hAnsi="Times New Roman"/>
          <w:i/>
          <w:sz w:val="20"/>
          <w:szCs w:val="20"/>
        </w:rPr>
        <w:t>La gestione delle farmacie;</w:t>
      </w:r>
    </w:p>
    <w:p w14:paraId="3A571A35"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distribuzione intermedia alle farmacie pubbliche e private, alle A.S.L ed a case di cura attraverso la proprietà, l’affitto, la gestione o altra forma di magazzino;</w:t>
      </w:r>
    </w:p>
    <w:p w14:paraId="70C5DC29" w14:textId="4EB2DAF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del servizio di assistenza ai portatori di han</w:t>
      </w:r>
      <w:r w:rsidR="0084697D">
        <w:rPr>
          <w:rFonts w:ascii="Times New Roman" w:hAnsi="Times New Roman"/>
          <w:i/>
          <w:sz w:val="20"/>
          <w:szCs w:val="20"/>
        </w:rPr>
        <w:t>dicap nelle scuole e l</w:t>
      </w:r>
      <w:r w:rsidR="003915A5">
        <w:rPr>
          <w:rFonts w:ascii="Times New Roman" w:hAnsi="Times New Roman"/>
          <w:i/>
          <w:sz w:val="20"/>
          <w:szCs w:val="20"/>
        </w:rPr>
        <w:t>’</w:t>
      </w:r>
      <w:r w:rsidRPr="00AA4995">
        <w:rPr>
          <w:rFonts w:ascii="Times New Roman" w:hAnsi="Times New Roman"/>
          <w:i/>
          <w:sz w:val="20"/>
          <w:szCs w:val="20"/>
        </w:rPr>
        <w:t>assistenza di base domiciliare;</w:t>
      </w:r>
    </w:p>
    <w:p w14:paraId="5D4D984B"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dei servizi di Igiene Ambientale quali raccolta, trasporto e smaltimento, anche con riciclaggio e recupero energetico, dei rifiuti solidi urbani nonché di quelli speciali, ospedalieri, industriali, tossico - nocivi, pericolosi e di ogni tipo, raccolta differenziata, lavaggio e spazzamento stradale;</w:t>
      </w:r>
    </w:p>
    <w:p w14:paraId="61D0C741"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realizzazione e la gestione di aree di sosta a pagamento per veicoli e delle attività connesse;</w:t>
      </w:r>
    </w:p>
    <w:p w14:paraId="7E31C776"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degli impianti semaforici e della segnaletica orizzontale e verticale:</w:t>
      </w:r>
    </w:p>
    <w:p w14:paraId="72DF8E6B"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Il servizio di pulizia e manutenzioni di edifici pubblici, privati ed industriali nonché aree verdi e strade</w:t>
      </w:r>
    </w:p>
    <w:p w14:paraId="2E28C594"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Servizio di affissione, pubblicità, TOSAP e riscossione dei tributi;</w:t>
      </w:r>
    </w:p>
    <w:p w14:paraId="723F27FE"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Servizio scuolabus, trasporto portatori Handicap, pre e post scuola;</w:t>
      </w:r>
    </w:p>
    <w:p w14:paraId="1AD38CD0"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Autotrasporto per conto proprio e per conto terzi con qualsiasi mezzo;</w:t>
      </w:r>
    </w:p>
    <w:p w14:paraId="2556C1B2"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Gestione asili nido;</w:t>
      </w:r>
    </w:p>
    <w:p w14:paraId="72729822"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di servizi di ristorazione per istituti scolastici e per attività pubblico sociali;</w:t>
      </w:r>
    </w:p>
    <w:p w14:paraId="3D5D1CB6"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La gestione dei servizi funebri e cimiteriali;</w:t>
      </w:r>
    </w:p>
    <w:p w14:paraId="2CAA999F" w14:textId="39F4FB69" w:rsidR="00AA4995" w:rsidRDefault="00AA4995" w:rsidP="00AA4995">
      <w:pPr>
        <w:widowControl w:val="0"/>
        <w:spacing w:after="0" w:line="240" w:lineRule="auto"/>
        <w:jc w:val="both"/>
        <w:rPr>
          <w:rFonts w:ascii="Times New Roman" w:hAnsi="Times New Roman"/>
          <w:sz w:val="20"/>
          <w:szCs w:val="20"/>
        </w:rPr>
      </w:pPr>
      <w:r w:rsidRPr="00AA4995">
        <w:rPr>
          <w:rFonts w:ascii="Times New Roman" w:hAnsi="Times New Roman"/>
          <w:i/>
          <w:sz w:val="20"/>
          <w:szCs w:val="20"/>
        </w:rPr>
        <w:t>- La gestione di impianti sportivi pubblici.</w:t>
      </w:r>
      <w:r w:rsidRPr="00AA4995">
        <w:rPr>
          <w:rFonts w:ascii="Times New Roman" w:hAnsi="Times New Roman"/>
          <w:sz w:val="20"/>
          <w:szCs w:val="20"/>
        </w:rPr>
        <w:t xml:space="preserve"> </w:t>
      </w:r>
    </w:p>
    <w:p w14:paraId="4FF730E9" w14:textId="55049A91"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 xml:space="preserve">La società è tenuta, ai sensi di legge, a realizzare e gestire i servizi e le attività di cui al precedente comma per conto degli enti locali soci. </w:t>
      </w:r>
    </w:p>
    <w:p w14:paraId="3DAB9984" w14:textId="77777777" w:rsidR="00AA4995"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Per il perseguimento dell’oggetto sociale, la società può compiere tutte le operazioni commerciali, finanziarie, mobiliari ed immobiliari, ritenute utili e necessarie.</w:t>
      </w:r>
    </w:p>
    <w:p w14:paraId="6E027B19" w14:textId="10F5B84A" w:rsidR="000536BB" w:rsidRPr="00AA4995" w:rsidRDefault="00AA4995" w:rsidP="00AA4995">
      <w:pPr>
        <w:widowControl w:val="0"/>
        <w:spacing w:after="0" w:line="240" w:lineRule="auto"/>
        <w:jc w:val="both"/>
        <w:rPr>
          <w:rFonts w:ascii="Times New Roman" w:hAnsi="Times New Roman"/>
          <w:i/>
          <w:sz w:val="20"/>
          <w:szCs w:val="20"/>
        </w:rPr>
      </w:pPr>
      <w:r w:rsidRPr="00AA4995">
        <w:rPr>
          <w:rFonts w:ascii="Times New Roman" w:hAnsi="Times New Roman"/>
          <w:i/>
          <w:sz w:val="20"/>
          <w:szCs w:val="20"/>
        </w:rPr>
        <w:t>La società assicura agli utenti e ai cittadini le informazioni inerenti ai servizi gestiti.</w:t>
      </w:r>
    </w:p>
    <w:p w14:paraId="005CF1FF" w14:textId="77777777" w:rsidR="00603F3F" w:rsidRPr="0080666F" w:rsidRDefault="00603F3F" w:rsidP="00603F3F">
      <w:pPr>
        <w:widowControl w:val="0"/>
        <w:spacing w:after="0"/>
        <w:jc w:val="both"/>
        <w:rPr>
          <w:rFonts w:ascii="Times New Roman" w:hAnsi="Times New Roman"/>
          <w:sz w:val="20"/>
        </w:rPr>
      </w:pPr>
    </w:p>
    <w:p w14:paraId="08BC63EF" w14:textId="77777777" w:rsidR="00603F3F" w:rsidRPr="00646BB2" w:rsidRDefault="00603F3F" w:rsidP="003E3269">
      <w:pPr>
        <w:pStyle w:val="Titolo3"/>
        <w:keepNext w:val="0"/>
        <w:widowControl w:val="0"/>
        <w:numPr>
          <w:ilvl w:val="1"/>
          <w:numId w:val="31"/>
        </w:numPr>
        <w:spacing w:line="276" w:lineRule="auto"/>
        <w:ind w:left="426" w:hanging="426"/>
        <w:contextualSpacing w:val="0"/>
      </w:pPr>
      <w:bookmarkStart w:id="216" w:name="_Toc535854406"/>
      <w:r w:rsidRPr="00646BB2">
        <w:t>Gli Organi societari</w:t>
      </w:r>
      <w:bookmarkEnd w:id="216"/>
    </w:p>
    <w:p w14:paraId="3E528651" w14:textId="68D3E20E" w:rsidR="00603F3F" w:rsidRPr="00CD7FBE" w:rsidRDefault="004B78E3" w:rsidP="00603F3F">
      <w:pPr>
        <w:widowControl w:val="0"/>
        <w:spacing w:after="0"/>
        <w:jc w:val="both"/>
        <w:rPr>
          <w:rFonts w:ascii="Times New Roman" w:hAnsi="Times New Roman"/>
          <w:sz w:val="20"/>
          <w:szCs w:val="20"/>
        </w:rPr>
      </w:pPr>
      <w:r w:rsidRPr="0084697D">
        <w:rPr>
          <w:rFonts w:ascii="Times New Roman" w:hAnsi="Times New Roman"/>
          <w:sz w:val="20"/>
          <w:szCs w:val="20"/>
        </w:rPr>
        <w:t>L'art. 11</w:t>
      </w:r>
      <w:r w:rsidR="00603F3F" w:rsidRPr="0084697D">
        <w:rPr>
          <w:rFonts w:ascii="Times New Roman" w:hAnsi="Times New Roman"/>
          <w:sz w:val="20"/>
          <w:szCs w:val="20"/>
        </w:rPr>
        <w:t>, dello Statuto Sociale prevede i seguenti Organi sociali:</w:t>
      </w:r>
      <w:r w:rsidR="00603F3F" w:rsidRPr="00CD7FBE">
        <w:rPr>
          <w:rFonts w:ascii="Times New Roman" w:hAnsi="Times New Roman"/>
          <w:sz w:val="20"/>
          <w:szCs w:val="20"/>
        </w:rPr>
        <w:t xml:space="preserve"> </w:t>
      </w:r>
    </w:p>
    <w:p w14:paraId="7EF7A602" w14:textId="486678EB" w:rsidR="00603F3F" w:rsidRPr="00AA4995" w:rsidRDefault="00603F3F" w:rsidP="00603F3F">
      <w:pPr>
        <w:widowControl w:val="0"/>
        <w:numPr>
          <w:ilvl w:val="0"/>
          <w:numId w:val="2"/>
        </w:numPr>
        <w:spacing w:after="0"/>
        <w:ind w:left="284" w:hanging="284"/>
        <w:jc w:val="both"/>
        <w:rPr>
          <w:rFonts w:ascii="Times New Roman" w:hAnsi="Times New Roman"/>
          <w:i/>
          <w:spacing w:val="1"/>
          <w:sz w:val="20"/>
          <w:szCs w:val="20"/>
        </w:rPr>
      </w:pPr>
      <w:r w:rsidRPr="00AA4995">
        <w:rPr>
          <w:rFonts w:ascii="Times New Roman" w:hAnsi="Times New Roman"/>
          <w:i/>
          <w:spacing w:val="1"/>
          <w:sz w:val="20"/>
          <w:szCs w:val="20"/>
        </w:rPr>
        <w:t>l’Assemblea</w:t>
      </w:r>
      <w:r w:rsidR="004B78E3" w:rsidRPr="00AA4995">
        <w:rPr>
          <w:rFonts w:ascii="Times New Roman" w:hAnsi="Times New Roman"/>
          <w:i/>
          <w:spacing w:val="1"/>
          <w:sz w:val="20"/>
          <w:szCs w:val="20"/>
        </w:rPr>
        <w:t xml:space="preserve"> dei soci</w:t>
      </w:r>
      <w:r w:rsidRPr="00AA4995">
        <w:rPr>
          <w:rFonts w:ascii="Times New Roman" w:hAnsi="Times New Roman"/>
          <w:i/>
          <w:spacing w:val="1"/>
          <w:sz w:val="20"/>
          <w:szCs w:val="20"/>
        </w:rPr>
        <w:t>;</w:t>
      </w:r>
    </w:p>
    <w:p w14:paraId="7DA88E6A" w14:textId="6EA1BE49" w:rsidR="00603F3F" w:rsidRPr="00AA4995" w:rsidRDefault="001A4D0A" w:rsidP="00603F3F">
      <w:pPr>
        <w:widowControl w:val="0"/>
        <w:numPr>
          <w:ilvl w:val="0"/>
          <w:numId w:val="2"/>
        </w:numPr>
        <w:spacing w:after="0"/>
        <w:ind w:left="284" w:hanging="284"/>
        <w:jc w:val="both"/>
        <w:rPr>
          <w:rFonts w:ascii="Times New Roman" w:hAnsi="Times New Roman"/>
          <w:i/>
          <w:spacing w:val="1"/>
          <w:sz w:val="20"/>
          <w:szCs w:val="20"/>
        </w:rPr>
      </w:pPr>
      <w:r w:rsidRPr="00AA4995">
        <w:rPr>
          <w:rFonts w:ascii="Times New Roman" w:hAnsi="Times New Roman"/>
          <w:i/>
          <w:spacing w:val="1"/>
          <w:sz w:val="20"/>
          <w:szCs w:val="20"/>
        </w:rPr>
        <w:t>l’Amministratore Unico</w:t>
      </w:r>
      <w:r w:rsidR="004B78E3" w:rsidRPr="00AA4995">
        <w:rPr>
          <w:rFonts w:ascii="Times New Roman" w:hAnsi="Times New Roman"/>
          <w:i/>
          <w:spacing w:val="1"/>
          <w:sz w:val="20"/>
          <w:szCs w:val="20"/>
        </w:rPr>
        <w:t xml:space="preserve"> o il Consiglio di Amministrazione</w:t>
      </w:r>
      <w:r w:rsidRPr="00AA4995">
        <w:rPr>
          <w:rFonts w:ascii="Times New Roman" w:hAnsi="Times New Roman"/>
          <w:i/>
          <w:spacing w:val="1"/>
          <w:sz w:val="20"/>
          <w:szCs w:val="20"/>
        </w:rPr>
        <w:t>;</w:t>
      </w:r>
      <w:r w:rsidR="00603F3F" w:rsidRPr="00AA4995">
        <w:rPr>
          <w:rFonts w:ascii="Times New Roman" w:hAnsi="Times New Roman"/>
          <w:i/>
          <w:spacing w:val="1"/>
          <w:sz w:val="20"/>
          <w:szCs w:val="20"/>
        </w:rPr>
        <w:t xml:space="preserve"> </w:t>
      </w:r>
    </w:p>
    <w:p w14:paraId="466C63BB" w14:textId="77777777" w:rsidR="00603F3F" w:rsidRPr="00AA4995" w:rsidRDefault="00603F3F" w:rsidP="00603F3F">
      <w:pPr>
        <w:widowControl w:val="0"/>
        <w:numPr>
          <w:ilvl w:val="0"/>
          <w:numId w:val="2"/>
        </w:numPr>
        <w:spacing w:after="0"/>
        <w:ind w:left="284" w:hanging="284"/>
        <w:jc w:val="both"/>
        <w:rPr>
          <w:rFonts w:ascii="Times New Roman" w:hAnsi="Times New Roman"/>
          <w:i/>
          <w:spacing w:val="1"/>
          <w:sz w:val="20"/>
          <w:szCs w:val="20"/>
        </w:rPr>
      </w:pPr>
      <w:r w:rsidRPr="00AA4995">
        <w:rPr>
          <w:rFonts w:ascii="Times New Roman" w:hAnsi="Times New Roman"/>
          <w:i/>
          <w:spacing w:val="1"/>
          <w:sz w:val="20"/>
          <w:szCs w:val="20"/>
        </w:rPr>
        <w:t>il Collegio Sindacale.</w:t>
      </w:r>
    </w:p>
    <w:p w14:paraId="73BB7731" w14:textId="6FE40963" w:rsidR="001A4D0A" w:rsidRPr="00CD7FBE" w:rsidRDefault="001A4D0A" w:rsidP="00603F3F">
      <w:pPr>
        <w:widowControl w:val="0"/>
        <w:spacing w:after="0"/>
        <w:jc w:val="both"/>
        <w:rPr>
          <w:rFonts w:ascii="Times New Roman" w:hAnsi="Times New Roman"/>
          <w:spacing w:val="1"/>
          <w:sz w:val="20"/>
          <w:szCs w:val="20"/>
        </w:rPr>
      </w:pPr>
      <w:r>
        <w:rPr>
          <w:rFonts w:ascii="Times New Roman" w:hAnsi="Times New Roman"/>
          <w:spacing w:val="1"/>
          <w:sz w:val="20"/>
          <w:szCs w:val="20"/>
        </w:rPr>
        <w:t xml:space="preserve">L’Amministratore Unico è il </w:t>
      </w:r>
      <w:r w:rsidRPr="001A4D0A">
        <w:rPr>
          <w:rFonts w:ascii="Times New Roman" w:hAnsi="Times New Roman"/>
          <w:b/>
          <w:spacing w:val="1"/>
          <w:sz w:val="20"/>
          <w:szCs w:val="20"/>
        </w:rPr>
        <w:t>Dott. Walter Bravetti</w:t>
      </w:r>
      <w:r>
        <w:rPr>
          <w:rFonts w:ascii="Times New Roman" w:hAnsi="Times New Roman"/>
          <w:b/>
          <w:spacing w:val="1"/>
          <w:sz w:val="20"/>
          <w:szCs w:val="20"/>
        </w:rPr>
        <w:t>.</w:t>
      </w:r>
      <w:r>
        <w:rPr>
          <w:rFonts w:ascii="Times New Roman" w:hAnsi="Times New Roman"/>
          <w:spacing w:val="1"/>
          <w:sz w:val="20"/>
          <w:szCs w:val="20"/>
        </w:rPr>
        <w:t xml:space="preserve"> </w:t>
      </w:r>
    </w:p>
    <w:p w14:paraId="7D05DC05" w14:textId="40326864" w:rsidR="00603F3F" w:rsidRPr="00CD7FBE" w:rsidRDefault="00603F3F" w:rsidP="00603F3F">
      <w:pPr>
        <w:widowControl w:val="0"/>
        <w:spacing w:after="0"/>
        <w:jc w:val="both"/>
        <w:rPr>
          <w:rFonts w:ascii="Times New Roman" w:hAnsi="Times New Roman"/>
          <w:spacing w:val="1"/>
          <w:sz w:val="20"/>
          <w:szCs w:val="20"/>
        </w:rPr>
      </w:pPr>
      <w:r w:rsidRPr="00CD7FBE">
        <w:rPr>
          <w:rFonts w:ascii="Times New Roman" w:hAnsi="Times New Roman"/>
          <w:spacing w:val="1"/>
          <w:sz w:val="20"/>
          <w:szCs w:val="20"/>
        </w:rPr>
        <w:t>Il Collegio Sindacale è così composto:</w:t>
      </w:r>
    </w:p>
    <w:p w14:paraId="0294744F"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sidRPr="006672EF">
        <w:rPr>
          <w:rFonts w:ascii="Times New Roman" w:eastAsia="MS Mincho" w:hAnsi="Times New Roman" w:cs="Times New Roman"/>
          <w:b/>
          <w:sz w:val="20"/>
          <w:szCs w:val="20"/>
        </w:rPr>
        <w:t xml:space="preserve">- </w:t>
      </w:r>
      <w:r w:rsidRPr="0018644F">
        <w:rPr>
          <w:rFonts w:ascii="Times New Roman" w:hAnsi="Times New Roman" w:cs="Times New Roman"/>
          <w:sz w:val="20"/>
          <w:szCs w:val="20"/>
        </w:rPr>
        <w:t>Presidente: </w:t>
      </w:r>
      <w:r w:rsidRPr="006672EF">
        <w:rPr>
          <w:rFonts w:ascii="Times New Roman" w:hAnsi="Times New Roman" w:cs="Times New Roman"/>
          <w:b/>
          <w:bCs/>
          <w:sz w:val="20"/>
          <w:szCs w:val="20"/>
          <w:bdr w:val="none" w:sz="0" w:space="0" w:color="auto" w:frame="1"/>
        </w:rPr>
        <w:t xml:space="preserve">Dott.ssa Gobbo Antonella; </w:t>
      </w:r>
    </w:p>
    <w:p w14:paraId="07FB3E3A"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 xml:space="preserve">Dott. Violetti Roberto; </w:t>
      </w:r>
    </w:p>
    <w:p w14:paraId="1E57AFDA"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Componente: </w:t>
      </w:r>
      <w:r w:rsidRPr="006672EF">
        <w:rPr>
          <w:rFonts w:ascii="Times New Roman" w:hAnsi="Times New Roman" w:cs="Times New Roman"/>
          <w:b/>
          <w:bCs/>
          <w:sz w:val="20"/>
          <w:szCs w:val="20"/>
          <w:bdr w:val="none" w:sz="0" w:space="0" w:color="auto" w:frame="1"/>
        </w:rPr>
        <w:t xml:space="preserve">Dott. Vespa Antonio; </w:t>
      </w:r>
    </w:p>
    <w:p w14:paraId="0483D430" w14:textId="77777777" w:rsidR="001A4D0A"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b/>
          <w:bCs/>
          <w:sz w:val="20"/>
          <w:szCs w:val="20"/>
          <w:bdr w:val="none" w:sz="0" w:space="0" w:color="auto" w:frame="1"/>
        </w:rPr>
        <w:t xml:space="preserve">- </w:t>
      </w:r>
      <w:r w:rsidRPr="0018644F">
        <w:rPr>
          <w:rFonts w:ascii="Times New Roman" w:hAnsi="Times New Roman" w:cs="Times New Roman"/>
          <w:sz w:val="20"/>
          <w:szCs w:val="20"/>
        </w:rPr>
        <w:t>Supplente: </w:t>
      </w:r>
      <w:r w:rsidRPr="006672EF">
        <w:rPr>
          <w:rFonts w:ascii="Times New Roman" w:hAnsi="Times New Roman" w:cs="Times New Roman"/>
          <w:b/>
          <w:bCs/>
          <w:sz w:val="20"/>
          <w:szCs w:val="20"/>
          <w:bdr w:val="none" w:sz="0" w:space="0" w:color="auto" w:frame="1"/>
        </w:rPr>
        <w:t>Dott.ssa Pelli Romina</w:t>
      </w:r>
      <w:r>
        <w:rPr>
          <w:rFonts w:ascii="Times New Roman" w:hAnsi="Times New Roman" w:cs="Times New Roman"/>
          <w:b/>
          <w:bCs/>
          <w:sz w:val="20"/>
          <w:szCs w:val="20"/>
          <w:bdr w:val="none" w:sz="0" w:space="0" w:color="auto" w:frame="1"/>
        </w:rPr>
        <w:t>;</w:t>
      </w:r>
    </w:p>
    <w:p w14:paraId="5A01EB66" w14:textId="63BF3F0F" w:rsidR="001A4D0A" w:rsidRPr="006672EF" w:rsidRDefault="001A4D0A" w:rsidP="001A4D0A">
      <w:pPr>
        <w:pStyle w:val="Corpodeltesto2"/>
        <w:spacing w:before="0" w:after="0"/>
        <w:ind w:right="0"/>
        <w:rPr>
          <w:rFonts w:ascii="Times New Roman" w:hAnsi="Times New Roman" w:cs="Times New Roman"/>
          <w:b/>
          <w:bCs/>
          <w:sz w:val="20"/>
          <w:szCs w:val="20"/>
          <w:bdr w:val="none" w:sz="0" w:space="0" w:color="auto" w:frame="1"/>
        </w:rPr>
      </w:pPr>
      <w:r>
        <w:rPr>
          <w:rFonts w:ascii="Times New Roman" w:hAnsi="Times New Roman" w:cs="Times New Roman"/>
          <w:sz w:val="20"/>
          <w:szCs w:val="20"/>
        </w:rPr>
        <w:t xml:space="preserve">- </w:t>
      </w:r>
      <w:r w:rsidRPr="0018644F">
        <w:rPr>
          <w:rFonts w:ascii="Times New Roman" w:hAnsi="Times New Roman" w:cs="Times New Roman"/>
          <w:sz w:val="20"/>
          <w:szCs w:val="20"/>
        </w:rPr>
        <w:t>Supplente: </w:t>
      </w:r>
      <w:r w:rsidRPr="006672EF">
        <w:rPr>
          <w:rFonts w:ascii="Times New Roman" w:hAnsi="Times New Roman" w:cs="Times New Roman"/>
          <w:b/>
          <w:bCs/>
          <w:sz w:val="20"/>
          <w:szCs w:val="20"/>
          <w:bdr w:val="none" w:sz="0" w:space="0" w:color="auto" w:frame="1"/>
        </w:rPr>
        <w:t>Dott. Zacà Alessandro;</w:t>
      </w:r>
    </w:p>
    <w:p w14:paraId="51D80E30" w14:textId="6D001671" w:rsidR="00603F3F" w:rsidRPr="00873DBD" w:rsidRDefault="00412864" w:rsidP="00603F3F">
      <w:pPr>
        <w:widowControl w:val="0"/>
        <w:spacing w:after="0"/>
        <w:jc w:val="both"/>
        <w:rPr>
          <w:rFonts w:ascii="Times New Roman" w:hAnsi="Times New Roman"/>
          <w:sz w:val="20"/>
          <w:szCs w:val="20"/>
        </w:rPr>
      </w:pPr>
      <w:r w:rsidRPr="00873DBD">
        <w:rPr>
          <w:rFonts w:ascii="Times New Roman" w:hAnsi="Times New Roman"/>
          <w:sz w:val="20"/>
          <w:szCs w:val="20"/>
        </w:rPr>
        <w:t xml:space="preserve">L’Assemblea dei Socio del 19 dicembre 2016 ha </w:t>
      </w:r>
      <w:r w:rsidR="00603F3F" w:rsidRPr="00873DBD">
        <w:rPr>
          <w:rFonts w:ascii="Times New Roman" w:hAnsi="Times New Roman"/>
          <w:sz w:val="20"/>
          <w:szCs w:val="20"/>
        </w:rPr>
        <w:t>deliberato di nominare l’Organismo di Vigilanza ai sensi del D. Lgs. 231/2001 così composto:</w:t>
      </w:r>
    </w:p>
    <w:p w14:paraId="23228525" w14:textId="6B776C51" w:rsidR="00603F3F" w:rsidRPr="00873DBD" w:rsidRDefault="001A4D0A" w:rsidP="003E3269">
      <w:pPr>
        <w:pStyle w:val="Paragrafoelenco"/>
        <w:widowControl w:val="0"/>
        <w:numPr>
          <w:ilvl w:val="0"/>
          <w:numId w:val="5"/>
        </w:numPr>
        <w:tabs>
          <w:tab w:val="left" w:pos="2410"/>
        </w:tabs>
        <w:spacing w:after="0" w:line="276" w:lineRule="auto"/>
        <w:ind w:left="284" w:hanging="284"/>
        <w:contextualSpacing w:val="0"/>
        <w:jc w:val="both"/>
        <w:rPr>
          <w:rFonts w:ascii="Times New Roman" w:hAnsi="Times New Roman"/>
          <w:b/>
          <w:sz w:val="20"/>
          <w:szCs w:val="20"/>
        </w:rPr>
      </w:pPr>
      <w:r w:rsidRPr="00873DBD">
        <w:rPr>
          <w:rFonts w:ascii="Times New Roman" w:hAnsi="Times New Roman"/>
          <w:sz w:val="20"/>
          <w:szCs w:val="20"/>
        </w:rPr>
        <w:t xml:space="preserve">Dott. </w:t>
      </w:r>
      <w:r w:rsidRPr="00873DBD">
        <w:rPr>
          <w:rFonts w:ascii="Times New Roman" w:hAnsi="Times New Roman"/>
          <w:b/>
          <w:sz w:val="20"/>
          <w:szCs w:val="20"/>
        </w:rPr>
        <w:t>Walter Bravetti</w:t>
      </w:r>
    </w:p>
    <w:p w14:paraId="5F8346AD" w14:textId="77777777" w:rsidR="003547C2" w:rsidRPr="001A4D0A" w:rsidRDefault="003547C2" w:rsidP="003547C2">
      <w:pPr>
        <w:pStyle w:val="Paragrafoelenco"/>
        <w:widowControl w:val="0"/>
        <w:tabs>
          <w:tab w:val="left" w:pos="2410"/>
        </w:tabs>
        <w:spacing w:after="0" w:line="276" w:lineRule="auto"/>
        <w:ind w:left="284"/>
        <w:contextualSpacing w:val="0"/>
        <w:jc w:val="both"/>
        <w:rPr>
          <w:rFonts w:ascii="Times New Roman" w:hAnsi="Times New Roman"/>
          <w:sz w:val="20"/>
          <w:szCs w:val="20"/>
        </w:rPr>
      </w:pPr>
    </w:p>
    <w:p w14:paraId="1E9EB1BF" w14:textId="77777777" w:rsidR="00603F3F" w:rsidRPr="00BC53FA" w:rsidRDefault="00603F3F" w:rsidP="00482EA1">
      <w:pPr>
        <w:pStyle w:val="Titolo3"/>
        <w:keepNext w:val="0"/>
        <w:widowControl w:val="0"/>
        <w:numPr>
          <w:ilvl w:val="1"/>
          <w:numId w:val="31"/>
        </w:numPr>
        <w:spacing w:before="60" w:after="60" w:line="276" w:lineRule="auto"/>
        <w:ind w:left="425" w:hanging="425"/>
        <w:contextualSpacing w:val="0"/>
      </w:pPr>
      <w:bookmarkStart w:id="217" w:name="_Toc499884046"/>
      <w:bookmarkStart w:id="218" w:name="_Toc535854407"/>
      <w:r w:rsidRPr="0080666F">
        <w:t>La</w:t>
      </w:r>
      <w:bookmarkEnd w:id="217"/>
      <w:r w:rsidRPr="0080666F">
        <w:t xml:space="preserve"> </w:t>
      </w:r>
      <w:bookmarkStart w:id="219" w:name="_Toc499709186"/>
      <w:bookmarkStart w:id="220" w:name="_Toc499709348"/>
      <w:bookmarkStart w:id="221" w:name="_Toc499709533"/>
      <w:bookmarkStart w:id="222" w:name="_Toc499709717"/>
      <w:bookmarkStart w:id="223" w:name="_Toc499709901"/>
      <w:bookmarkStart w:id="224" w:name="_Toc499710087"/>
      <w:bookmarkStart w:id="225" w:name="_Toc499797145"/>
      <w:bookmarkStart w:id="226" w:name="_Toc499880360"/>
      <w:bookmarkStart w:id="227" w:name="_Toc499881229"/>
      <w:bookmarkStart w:id="228" w:name="_Toc499883425"/>
      <w:bookmarkStart w:id="229" w:name="_Toc499883641"/>
      <w:bookmarkStart w:id="230" w:name="_Toc499883857"/>
      <w:bookmarkStart w:id="231" w:name="_Toc499884047"/>
      <w:bookmarkStart w:id="232" w:name="_Toc500232294"/>
      <w:bookmarkStart w:id="233" w:name="_Toc499709187"/>
      <w:bookmarkStart w:id="234" w:name="_Toc499709349"/>
      <w:bookmarkStart w:id="235" w:name="_Toc499709534"/>
      <w:bookmarkStart w:id="236" w:name="_Toc499709718"/>
      <w:bookmarkStart w:id="237" w:name="_Toc499709902"/>
      <w:bookmarkStart w:id="238" w:name="_Toc499710088"/>
      <w:bookmarkStart w:id="239" w:name="_Toc499797146"/>
      <w:bookmarkStart w:id="240" w:name="_Toc499880361"/>
      <w:bookmarkStart w:id="241" w:name="_Toc499881230"/>
      <w:bookmarkStart w:id="242" w:name="_Toc499883426"/>
      <w:bookmarkStart w:id="243" w:name="_Toc499883642"/>
      <w:bookmarkStart w:id="244" w:name="_Toc499883858"/>
      <w:bookmarkStart w:id="245" w:name="_Toc499884048"/>
      <w:bookmarkStart w:id="246" w:name="_Toc500232295"/>
      <w:bookmarkStart w:id="247" w:name="_Toc499709188"/>
      <w:bookmarkStart w:id="248" w:name="_Toc499709350"/>
      <w:bookmarkStart w:id="249" w:name="_Toc499709535"/>
      <w:bookmarkStart w:id="250" w:name="_Toc499709719"/>
      <w:bookmarkStart w:id="251" w:name="_Toc499709903"/>
      <w:bookmarkStart w:id="252" w:name="_Toc499710089"/>
      <w:bookmarkStart w:id="253" w:name="_Toc499797147"/>
      <w:bookmarkStart w:id="254" w:name="_Toc499880362"/>
      <w:bookmarkStart w:id="255" w:name="_Toc499881231"/>
      <w:bookmarkStart w:id="256" w:name="_Toc499883427"/>
      <w:bookmarkStart w:id="257" w:name="_Toc499883643"/>
      <w:bookmarkStart w:id="258" w:name="_Toc499883859"/>
      <w:bookmarkStart w:id="259" w:name="_Toc499884049"/>
      <w:bookmarkStart w:id="260" w:name="_Toc500232296"/>
      <w:bookmarkStart w:id="261" w:name="_Toc499709189"/>
      <w:bookmarkStart w:id="262" w:name="_Toc499709351"/>
      <w:bookmarkStart w:id="263" w:name="_Toc499709536"/>
      <w:bookmarkStart w:id="264" w:name="_Toc499709720"/>
      <w:bookmarkStart w:id="265" w:name="_Toc499709904"/>
      <w:bookmarkStart w:id="266" w:name="_Toc499710090"/>
      <w:bookmarkStart w:id="267" w:name="_Toc499797148"/>
      <w:bookmarkStart w:id="268" w:name="_Toc499880363"/>
      <w:bookmarkStart w:id="269" w:name="_Toc499881232"/>
      <w:bookmarkStart w:id="270" w:name="_Toc499883428"/>
      <w:bookmarkStart w:id="271" w:name="_Toc499883644"/>
      <w:bookmarkStart w:id="272" w:name="_Toc499883860"/>
      <w:bookmarkStart w:id="273" w:name="_Toc499884050"/>
      <w:bookmarkStart w:id="274" w:name="_Toc500232297"/>
      <w:bookmarkStart w:id="275" w:name="_Toc499709190"/>
      <w:bookmarkStart w:id="276" w:name="_Toc499709352"/>
      <w:bookmarkStart w:id="277" w:name="_Toc499709537"/>
      <w:bookmarkStart w:id="278" w:name="_Toc499709721"/>
      <w:bookmarkStart w:id="279" w:name="_Toc499709905"/>
      <w:bookmarkStart w:id="280" w:name="_Toc499710091"/>
      <w:bookmarkStart w:id="281" w:name="_Toc499797149"/>
      <w:bookmarkStart w:id="282" w:name="_Toc499880364"/>
      <w:bookmarkStart w:id="283" w:name="_Toc499881233"/>
      <w:bookmarkStart w:id="284" w:name="_Toc499883429"/>
      <w:bookmarkStart w:id="285" w:name="_Toc499883645"/>
      <w:bookmarkStart w:id="286" w:name="_Toc499883861"/>
      <w:bookmarkStart w:id="287" w:name="_Toc499884051"/>
      <w:bookmarkStart w:id="288" w:name="_Toc50023229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Pr="00BC53FA">
        <w:t>Macrostruttura.</w:t>
      </w:r>
      <w:bookmarkEnd w:id="218"/>
    </w:p>
    <w:p w14:paraId="41451B96" w14:textId="5CF9713A" w:rsidR="00603F3F" w:rsidRPr="0084697D" w:rsidRDefault="00603F3F" w:rsidP="00603F3F">
      <w:pPr>
        <w:widowControl w:val="0"/>
        <w:tabs>
          <w:tab w:val="left" w:pos="1185"/>
        </w:tabs>
        <w:spacing w:after="0"/>
        <w:jc w:val="both"/>
        <w:rPr>
          <w:rFonts w:ascii="Times New Roman" w:hAnsi="Times New Roman"/>
          <w:sz w:val="20"/>
          <w:szCs w:val="20"/>
          <w:lang w:eastAsia="it-IT"/>
        </w:rPr>
      </w:pPr>
      <w:r w:rsidRPr="0084697D">
        <w:rPr>
          <w:rFonts w:ascii="Times New Roman" w:hAnsi="Times New Roman"/>
          <w:sz w:val="20"/>
          <w:szCs w:val="20"/>
        </w:rPr>
        <w:t>La macrostruttura aziendale adottata è di tipo funzionale con strutture di staff e line (</w:t>
      </w:r>
      <w:r w:rsidRPr="0084697D">
        <w:rPr>
          <w:rFonts w:ascii="Times New Roman" w:hAnsi="Times New Roman"/>
          <w:i/>
          <w:sz w:val="20"/>
          <w:szCs w:val="20"/>
        </w:rPr>
        <w:t>funzioni di staff proprie del</w:t>
      </w:r>
      <w:r w:rsidR="00425A3C" w:rsidRPr="0084697D">
        <w:rPr>
          <w:rFonts w:ascii="Times New Roman" w:hAnsi="Times New Roman"/>
          <w:i/>
          <w:sz w:val="20"/>
          <w:szCs w:val="20"/>
        </w:rPr>
        <w:t>l’Amministratore Unico</w:t>
      </w:r>
      <w:r w:rsidRPr="0084697D">
        <w:rPr>
          <w:rFonts w:ascii="Times New Roman" w:hAnsi="Times New Roman"/>
          <w:sz w:val="20"/>
          <w:szCs w:val="20"/>
        </w:rPr>
        <w:t xml:space="preserve">) oltre ad Uffici di </w:t>
      </w:r>
      <w:r w:rsidR="00AA4995" w:rsidRPr="0084697D">
        <w:rPr>
          <w:rFonts w:ascii="Times New Roman" w:hAnsi="Times New Roman"/>
          <w:sz w:val="20"/>
          <w:szCs w:val="20"/>
        </w:rPr>
        <w:t>staff del Direttore Generale</w:t>
      </w:r>
      <w:r w:rsidRPr="0084697D">
        <w:rPr>
          <w:rFonts w:ascii="Times New Roman" w:hAnsi="Times New Roman"/>
          <w:sz w:val="20"/>
          <w:szCs w:val="20"/>
        </w:rPr>
        <w:t xml:space="preserve">. </w:t>
      </w:r>
      <w:r w:rsidR="003E69D5" w:rsidRPr="0084697D">
        <w:rPr>
          <w:rFonts w:ascii="Times New Roman" w:hAnsi="Times New Roman"/>
          <w:sz w:val="20"/>
          <w:szCs w:val="20"/>
        </w:rPr>
        <w:t>I settori sono a loro volta organizzati</w:t>
      </w:r>
      <w:r w:rsidRPr="0084697D">
        <w:rPr>
          <w:rFonts w:ascii="Times New Roman" w:hAnsi="Times New Roman"/>
          <w:sz w:val="20"/>
          <w:szCs w:val="20"/>
        </w:rPr>
        <w:t xml:space="preserve"> in Uffici, i cui Responsabili possono essere individuati tra il personale di livello Q</w:t>
      </w:r>
      <w:r w:rsidRPr="0084697D">
        <w:rPr>
          <w:rFonts w:ascii="Times New Roman" w:hAnsi="Times New Roman"/>
          <w:sz w:val="20"/>
          <w:szCs w:val="20"/>
          <w:lang w:eastAsia="it-IT"/>
        </w:rPr>
        <w:t xml:space="preserve">uadro e/o livello D. </w:t>
      </w:r>
      <w:r w:rsidR="003E69D5" w:rsidRPr="0084697D">
        <w:rPr>
          <w:rFonts w:ascii="Times New Roman" w:hAnsi="Times New Roman"/>
          <w:sz w:val="20"/>
          <w:szCs w:val="20"/>
          <w:lang w:eastAsia="it-IT"/>
        </w:rPr>
        <w:t>I settori</w:t>
      </w:r>
      <w:r w:rsidRPr="0084697D">
        <w:rPr>
          <w:rFonts w:ascii="Times New Roman" w:hAnsi="Times New Roman"/>
          <w:sz w:val="20"/>
          <w:szCs w:val="20"/>
          <w:lang w:eastAsia="it-IT"/>
        </w:rPr>
        <w:t xml:space="preserve"> hanno deleghe conferite dal</w:t>
      </w:r>
      <w:r w:rsidR="003E69D5" w:rsidRPr="0084697D">
        <w:rPr>
          <w:rFonts w:ascii="Times New Roman" w:hAnsi="Times New Roman"/>
          <w:sz w:val="20"/>
          <w:szCs w:val="20"/>
          <w:lang w:eastAsia="it-IT"/>
        </w:rPr>
        <w:t xml:space="preserve">l’Amministratore Unico e </w:t>
      </w:r>
      <w:r w:rsidRPr="0084697D">
        <w:rPr>
          <w:rFonts w:ascii="Times New Roman" w:hAnsi="Times New Roman"/>
          <w:sz w:val="20"/>
          <w:szCs w:val="20"/>
          <w:lang w:eastAsia="it-IT"/>
        </w:rPr>
        <w:t xml:space="preserve">i </w:t>
      </w:r>
      <w:r w:rsidR="003E69D5" w:rsidRPr="0084697D">
        <w:rPr>
          <w:rFonts w:ascii="Times New Roman" w:hAnsi="Times New Roman"/>
          <w:sz w:val="20"/>
          <w:szCs w:val="20"/>
          <w:lang w:eastAsia="it-IT"/>
        </w:rPr>
        <w:t>Responsabili</w:t>
      </w:r>
      <w:r w:rsidRPr="0084697D">
        <w:rPr>
          <w:rFonts w:ascii="Times New Roman" w:hAnsi="Times New Roman"/>
          <w:sz w:val="20"/>
          <w:szCs w:val="20"/>
          <w:lang w:eastAsia="it-IT"/>
        </w:rPr>
        <w:t xml:space="preserve"> possono, a loro volta, delegare specifiche attività di competenza ai Respons</w:t>
      </w:r>
      <w:r w:rsidR="003E69D5" w:rsidRPr="0084697D">
        <w:rPr>
          <w:rFonts w:ascii="Times New Roman" w:hAnsi="Times New Roman"/>
          <w:sz w:val="20"/>
          <w:szCs w:val="20"/>
          <w:lang w:eastAsia="it-IT"/>
        </w:rPr>
        <w:t>abili delle Divisioni operative.</w:t>
      </w:r>
    </w:p>
    <w:p w14:paraId="4F5D9CBC" w14:textId="53A46F74" w:rsidR="00603F3F" w:rsidRPr="0084697D" w:rsidRDefault="003E69D5" w:rsidP="00603F3F">
      <w:pPr>
        <w:widowControl w:val="0"/>
        <w:tabs>
          <w:tab w:val="left" w:pos="1185"/>
        </w:tabs>
        <w:spacing w:after="0"/>
        <w:jc w:val="both"/>
        <w:rPr>
          <w:rFonts w:ascii="Times New Roman" w:hAnsi="Times New Roman"/>
          <w:sz w:val="20"/>
          <w:szCs w:val="20"/>
          <w:lang w:eastAsia="it-IT"/>
        </w:rPr>
      </w:pPr>
      <w:r w:rsidRPr="0084697D">
        <w:rPr>
          <w:rFonts w:ascii="Times New Roman" w:hAnsi="Times New Roman"/>
          <w:sz w:val="20"/>
          <w:szCs w:val="20"/>
          <w:lang w:eastAsia="it-IT"/>
        </w:rPr>
        <w:t>Le Divisioni operative hanno la gestione operativa dei servizi a loro affidati.</w:t>
      </w:r>
    </w:p>
    <w:p w14:paraId="5552C877" w14:textId="34128F72" w:rsidR="00603F3F" w:rsidRDefault="00603F3F" w:rsidP="00603F3F">
      <w:pPr>
        <w:widowControl w:val="0"/>
        <w:tabs>
          <w:tab w:val="left" w:pos="1185"/>
        </w:tabs>
        <w:spacing w:after="0"/>
        <w:jc w:val="both"/>
        <w:rPr>
          <w:rFonts w:ascii="Times New Roman" w:hAnsi="Times New Roman"/>
          <w:sz w:val="20"/>
          <w:szCs w:val="20"/>
          <w:lang w:eastAsia="it-IT"/>
        </w:rPr>
      </w:pPr>
      <w:r w:rsidRPr="00825F0F">
        <w:rPr>
          <w:rFonts w:ascii="Times New Roman" w:hAnsi="Times New Roman"/>
          <w:sz w:val="20"/>
          <w:szCs w:val="20"/>
          <w:lang w:eastAsia="it-IT"/>
        </w:rPr>
        <w:t xml:space="preserve">È </w:t>
      </w:r>
      <w:r w:rsidR="00825F0F" w:rsidRPr="00825F0F">
        <w:rPr>
          <w:rFonts w:ascii="Times New Roman" w:hAnsi="Times New Roman"/>
          <w:sz w:val="20"/>
          <w:szCs w:val="20"/>
          <w:lang w:eastAsia="it-IT"/>
        </w:rPr>
        <w:t xml:space="preserve">in definizione </w:t>
      </w:r>
      <w:r w:rsidRPr="00825F0F">
        <w:rPr>
          <w:rFonts w:ascii="Times New Roman" w:hAnsi="Times New Roman"/>
          <w:sz w:val="20"/>
          <w:szCs w:val="20"/>
          <w:lang w:eastAsia="it-IT"/>
        </w:rPr>
        <w:t>il “Piano Triennale dei Fabbisogni di Personale 201</w:t>
      </w:r>
      <w:r w:rsidR="00825F0F" w:rsidRPr="00825F0F">
        <w:rPr>
          <w:rFonts w:ascii="Times New Roman" w:hAnsi="Times New Roman"/>
          <w:sz w:val="20"/>
          <w:szCs w:val="20"/>
          <w:lang w:eastAsia="it-IT"/>
        </w:rPr>
        <w:t>9</w:t>
      </w:r>
      <w:r w:rsidRPr="00825F0F">
        <w:rPr>
          <w:rFonts w:ascii="Times New Roman" w:hAnsi="Times New Roman"/>
          <w:sz w:val="20"/>
          <w:szCs w:val="20"/>
          <w:lang w:eastAsia="it-IT"/>
        </w:rPr>
        <w:t xml:space="preserve"> – 20</w:t>
      </w:r>
      <w:r w:rsidR="00825F0F" w:rsidRPr="00825F0F">
        <w:rPr>
          <w:rFonts w:ascii="Times New Roman" w:hAnsi="Times New Roman"/>
          <w:sz w:val="20"/>
          <w:szCs w:val="20"/>
          <w:lang w:eastAsia="it-IT"/>
        </w:rPr>
        <w:t>21</w:t>
      </w:r>
      <w:r w:rsidRPr="00825F0F">
        <w:rPr>
          <w:rFonts w:ascii="Times New Roman" w:hAnsi="Times New Roman"/>
          <w:sz w:val="20"/>
          <w:szCs w:val="20"/>
          <w:lang w:eastAsia="it-IT"/>
        </w:rPr>
        <w:t>” in cui sono rappresentate le figure professionali che l’azienda intende acquisire nel prossimo triennio.</w:t>
      </w:r>
    </w:p>
    <w:p w14:paraId="63E153D9" w14:textId="3D82461A" w:rsidR="00603F3F" w:rsidRPr="00CD7FBE" w:rsidRDefault="00603F3F" w:rsidP="00603F3F">
      <w:pPr>
        <w:pStyle w:val="Corpodeltesto31"/>
        <w:suppressAutoHyphens w:val="0"/>
        <w:spacing w:line="276" w:lineRule="auto"/>
        <w:jc w:val="center"/>
        <w:rPr>
          <w:sz w:val="20"/>
          <w:szCs w:val="20"/>
        </w:rPr>
      </w:pPr>
    </w:p>
    <w:p w14:paraId="565A84C5" w14:textId="264882BC" w:rsidR="00603F3F" w:rsidRPr="00F254EB" w:rsidRDefault="00603F3F" w:rsidP="00603F3F">
      <w:pPr>
        <w:pStyle w:val="Titolo2"/>
        <w:keepNext w:val="0"/>
        <w:spacing w:line="276" w:lineRule="auto"/>
        <w:rPr>
          <w:color w:val="0070C0"/>
        </w:rPr>
      </w:pPr>
      <w:bookmarkStart w:id="289" w:name="_Toc497222001"/>
      <w:bookmarkStart w:id="290" w:name="_Toc497502629"/>
      <w:bookmarkStart w:id="291" w:name="_Toc535854408"/>
      <w:bookmarkStart w:id="292" w:name="_Toc454796204"/>
      <w:bookmarkStart w:id="293" w:name="_Toc454796266"/>
      <w:r w:rsidRPr="00F254EB">
        <w:rPr>
          <w:color w:val="0070C0"/>
        </w:rPr>
        <w:t>Obiettivi del Piano Strategico 201</w:t>
      </w:r>
      <w:r w:rsidR="004D55D2" w:rsidRPr="00F254EB">
        <w:rPr>
          <w:color w:val="0070C0"/>
        </w:rPr>
        <w:t>9</w:t>
      </w:r>
      <w:r w:rsidRPr="00F254EB">
        <w:rPr>
          <w:color w:val="0070C0"/>
        </w:rPr>
        <w:t xml:space="preserve"> </w:t>
      </w:r>
      <w:r w:rsidR="00F254EB">
        <w:rPr>
          <w:color w:val="0070C0"/>
        </w:rPr>
        <w:t xml:space="preserve">- </w:t>
      </w:r>
      <w:r w:rsidRPr="00F254EB">
        <w:rPr>
          <w:color w:val="0070C0"/>
        </w:rPr>
        <w:t>20</w:t>
      </w:r>
      <w:bookmarkEnd w:id="289"/>
      <w:bookmarkEnd w:id="290"/>
      <w:r w:rsidR="004D55D2" w:rsidRPr="00F254EB">
        <w:rPr>
          <w:color w:val="0070C0"/>
        </w:rPr>
        <w:t>21</w:t>
      </w:r>
      <w:bookmarkEnd w:id="291"/>
    </w:p>
    <w:p w14:paraId="53907587" w14:textId="4BC037F3" w:rsidR="00603F3F" w:rsidRPr="00CD7FBE" w:rsidRDefault="00603F3F" w:rsidP="00603F3F">
      <w:pPr>
        <w:widowControl w:val="0"/>
        <w:spacing w:after="0"/>
        <w:jc w:val="both"/>
        <w:rPr>
          <w:rFonts w:ascii="Times New Roman" w:hAnsi="Times New Roman"/>
          <w:sz w:val="20"/>
          <w:szCs w:val="20"/>
        </w:rPr>
      </w:pPr>
      <w:r w:rsidRPr="0084697D">
        <w:rPr>
          <w:rFonts w:ascii="Times New Roman" w:hAnsi="Times New Roman"/>
          <w:sz w:val="20"/>
          <w:szCs w:val="20"/>
        </w:rPr>
        <w:t>La società</w:t>
      </w:r>
      <w:r w:rsidR="004D55D2" w:rsidRPr="0084697D">
        <w:rPr>
          <w:rFonts w:ascii="Times New Roman" w:hAnsi="Times New Roman"/>
          <w:sz w:val="20"/>
          <w:szCs w:val="20"/>
        </w:rPr>
        <w:t xml:space="preserve"> opera nei confronti del Comune di Marino </w:t>
      </w:r>
      <w:r w:rsidRPr="0084697D">
        <w:rPr>
          <w:rFonts w:ascii="Times New Roman" w:hAnsi="Times New Roman"/>
          <w:sz w:val="20"/>
          <w:szCs w:val="20"/>
        </w:rPr>
        <w:t>secondo le modalità dell’</w:t>
      </w:r>
      <w:r w:rsidRPr="0084697D">
        <w:rPr>
          <w:rFonts w:ascii="Times New Roman" w:hAnsi="Times New Roman"/>
          <w:i/>
          <w:iCs/>
          <w:sz w:val="20"/>
          <w:szCs w:val="20"/>
        </w:rPr>
        <w:t>in house providing</w:t>
      </w:r>
      <w:r w:rsidR="004D55D2" w:rsidRPr="0084697D">
        <w:rPr>
          <w:rFonts w:ascii="Times New Roman" w:hAnsi="Times New Roman"/>
          <w:sz w:val="20"/>
          <w:szCs w:val="20"/>
        </w:rPr>
        <w:t>, nel rispetto delle direttive comunali</w:t>
      </w:r>
      <w:r w:rsidRPr="0084697D">
        <w:rPr>
          <w:rFonts w:ascii="Times New Roman" w:hAnsi="Times New Roman"/>
          <w:sz w:val="20"/>
          <w:szCs w:val="20"/>
        </w:rPr>
        <w:t xml:space="preserve"> in materia di esercizio del controllo analogo e secon</w:t>
      </w:r>
      <w:r w:rsidR="003E69D5" w:rsidRPr="0084697D">
        <w:rPr>
          <w:rFonts w:ascii="Times New Roman" w:hAnsi="Times New Roman"/>
          <w:sz w:val="20"/>
          <w:szCs w:val="20"/>
        </w:rPr>
        <w:t>do le disposizioni di cui alla D</w:t>
      </w:r>
      <w:r w:rsidRPr="0084697D">
        <w:rPr>
          <w:rFonts w:ascii="Times New Roman" w:hAnsi="Times New Roman"/>
          <w:sz w:val="20"/>
          <w:szCs w:val="20"/>
        </w:rPr>
        <w:t xml:space="preserve">eliberazione </w:t>
      </w:r>
      <w:r w:rsidR="003E69D5" w:rsidRPr="0084697D">
        <w:rPr>
          <w:rFonts w:ascii="Times New Roman" w:hAnsi="Times New Roman"/>
          <w:sz w:val="20"/>
          <w:szCs w:val="20"/>
        </w:rPr>
        <w:t>di Consiglio Comunale n. 9</w:t>
      </w:r>
      <w:r w:rsidRPr="0084697D">
        <w:rPr>
          <w:rFonts w:ascii="Times New Roman" w:hAnsi="Times New Roman"/>
          <w:sz w:val="20"/>
          <w:szCs w:val="20"/>
        </w:rPr>
        <w:t xml:space="preserve"> del 23 </w:t>
      </w:r>
      <w:r w:rsidR="003E69D5" w:rsidRPr="0084697D">
        <w:rPr>
          <w:rFonts w:ascii="Times New Roman" w:hAnsi="Times New Roman"/>
          <w:sz w:val="20"/>
          <w:szCs w:val="20"/>
        </w:rPr>
        <w:t>marzo 2017</w:t>
      </w:r>
      <w:r w:rsidRPr="0084697D">
        <w:rPr>
          <w:rFonts w:ascii="Times New Roman" w:hAnsi="Times New Roman"/>
          <w:iCs/>
          <w:sz w:val="20"/>
          <w:szCs w:val="20"/>
        </w:rPr>
        <w:t xml:space="preserve"> avente ad oggetto “</w:t>
      </w:r>
      <w:r w:rsidR="003E69D5" w:rsidRPr="0084697D">
        <w:rPr>
          <w:rFonts w:ascii="Times New Roman" w:hAnsi="Times New Roman"/>
          <w:i/>
          <w:iCs/>
          <w:sz w:val="20"/>
          <w:szCs w:val="20"/>
        </w:rPr>
        <w:t>Regolamento per il Controllo Analogo della Società Partecipata del Comune di Marino</w:t>
      </w:r>
      <w:r w:rsidRPr="0084697D">
        <w:rPr>
          <w:rFonts w:ascii="Times New Roman" w:hAnsi="Times New Roman"/>
          <w:iCs/>
          <w:sz w:val="20"/>
          <w:szCs w:val="20"/>
        </w:rPr>
        <w:t>”</w:t>
      </w:r>
      <w:r w:rsidRPr="0084697D">
        <w:rPr>
          <w:rFonts w:ascii="Times New Roman" w:hAnsi="Times New Roman"/>
          <w:sz w:val="20"/>
          <w:szCs w:val="20"/>
        </w:rPr>
        <w:t xml:space="preserve">. La società è pertanto soggetta ai poteri di indirizzo e controllo </w:t>
      </w:r>
      <w:r w:rsidR="003E69D5" w:rsidRPr="0084697D">
        <w:rPr>
          <w:rFonts w:ascii="Times New Roman" w:hAnsi="Times New Roman"/>
          <w:sz w:val="20"/>
          <w:szCs w:val="20"/>
        </w:rPr>
        <w:t>- strategico e operativo - del Comune di Marino</w:t>
      </w:r>
      <w:r w:rsidRPr="0084697D">
        <w:rPr>
          <w:rFonts w:ascii="Times New Roman" w:hAnsi="Times New Roman"/>
          <w:sz w:val="20"/>
          <w:szCs w:val="20"/>
        </w:rPr>
        <w:t>, analogamente a quelli che quest’ult</w:t>
      </w:r>
      <w:r w:rsidR="003E69D5" w:rsidRPr="0084697D">
        <w:rPr>
          <w:rFonts w:ascii="Times New Roman" w:hAnsi="Times New Roman"/>
          <w:sz w:val="20"/>
          <w:szCs w:val="20"/>
        </w:rPr>
        <w:t>imo</w:t>
      </w:r>
      <w:r w:rsidRPr="0084697D">
        <w:rPr>
          <w:rFonts w:ascii="Times New Roman" w:hAnsi="Times New Roman"/>
          <w:sz w:val="20"/>
          <w:szCs w:val="20"/>
        </w:rPr>
        <w:t xml:space="preserve"> esercita sui propri uffici e servizi.</w:t>
      </w:r>
      <w:r>
        <w:rPr>
          <w:rFonts w:ascii="Times New Roman" w:hAnsi="Times New Roman"/>
          <w:sz w:val="20"/>
          <w:szCs w:val="20"/>
        </w:rPr>
        <w:t xml:space="preserve"> </w:t>
      </w:r>
    </w:p>
    <w:p w14:paraId="67F98BB1" w14:textId="77777777" w:rsidR="00603F3F" w:rsidRPr="00CD7FBE" w:rsidRDefault="00603F3F" w:rsidP="00603F3F">
      <w:pPr>
        <w:widowControl w:val="0"/>
        <w:spacing w:after="0"/>
        <w:jc w:val="both"/>
        <w:rPr>
          <w:rFonts w:ascii="Times New Roman" w:hAnsi="Times New Roman"/>
          <w:sz w:val="20"/>
          <w:szCs w:val="20"/>
        </w:rPr>
      </w:pPr>
    </w:p>
    <w:p w14:paraId="6B70E25C" w14:textId="3D1A1C9D" w:rsidR="00603F3F" w:rsidRPr="00CD7FBE" w:rsidRDefault="00603F3F" w:rsidP="00603F3F">
      <w:pPr>
        <w:widowControl w:val="0"/>
        <w:autoSpaceDE w:val="0"/>
        <w:autoSpaceDN w:val="0"/>
        <w:adjustRightInd w:val="0"/>
        <w:spacing w:after="0"/>
        <w:jc w:val="both"/>
        <w:rPr>
          <w:rFonts w:ascii="Times New Roman" w:hAnsi="Times New Roman"/>
          <w:sz w:val="20"/>
          <w:szCs w:val="20"/>
        </w:rPr>
      </w:pPr>
      <w:r w:rsidRPr="00CD7FBE">
        <w:rPr>
          <w:rFonts w:ascii="Times New Roman" w:hAnsi="Times New Roman"/>
          <w:sz w:val="20"/>
          <w:szCs w:val="20"/>
        </w:rPr>
        <w:t xml:space="preserve">I rapporti tra la </w:t>
      </w:r>
      <w:r>
        <w:rPr>
          <w:rFonts w:ascii="Times New Roman" w:hAnsi="Times New Roman"/>
          <w:sz w:val="20"/>
          <w:szCs w:val="20"/>
        </w:rPr>
        <w:t>società</w:t>
      </w:r>
      <w:r w:rsidRPr="00CD7FBE">
        <w:rPr>
          <w:rFonts w:ascii="Times New Roman" w:hAnsi="Times New Roman"/>
          <w:sz w:val="20"/>
          <w:szCs w:val="20"/>
        </w:rPr>
        <w:t xml:space="preserve"> e</w:t>
      </w:r>
      <w:r w:rsidR="00482EA1">
        <w:rPr>
          <w:rFonts w:ascii="Times New Roman" w:hAnsi="Times New Roman"/>
          <w:sz w:val="20"/>
          <w:szCs w:val="20"/>
        </w:rPr>
        <w:t xml:space="preserve">d il Comune di Marino </w:t>
      </w:r>
      <w:r w:rsidRPr="00CD7FBE">
        <w:rPr>
          <w:rFonts w:ascii="Times New Roman" w:hAnsi="Times New Roman"/>
          <w:sz w:val="20"/>
          <w:szCs w:val="20"/>
        </w:rPr>
        <w:t xml:space="preserve">sono regolati dalle disposizioni comunitarie, nazionali e regionali vigenti, dallo statuto societario e da uno o più contratti di servizio in conformità ai principi generali enucleati dalla giurisprudenza europea ed amministrativa in materia di </w:t>
      </w:r>
      <w:r w:rsidRPr="00CD7FBE">
        <w:rPr>
          <w:rFonts w:ascii="Times New Roman" w:hAnsi="Times New Roman"/>
          <w:i/>
          <w:iCs/>
          <w:sz w:val="20"/>
          <w:szCs w:val="20"/>
        </w:rPr>
        <w:t>in house</w:t>
      </w:r>
      <w:r w:rsidR="00482EA1">
        <w:rPr>
          <w:rFonts w:ascii="Times New Roman" w:hAnsi="Times New Roman"/>
          <w:i/>
          <w:iCs/>
          <w:sz w:val="20"/>
          <w:szCs w:val="20"/>
        </w:rPr>
        <w:t>.</w:t>
      </w:r>
      <w:r>
        <w:rPr>
          <w:rFonts w:ascii="Times New Roman" w:hAnsi="Times New Roman"/>
          <w:sz w:val="20"/>
          <w:szCs w:val="20"/>
        </w:rPr>
        <w:t xml:space="preserve"> </w:t>
      </w:r>
    </w:p>
    <w:p w14:paraId="64A8D430" w14:textId="77777777" w:rsidR="00603F3F" w:rsidRPr="00CD7FBE" w:rsidRDefault="00603F3F" w:rsidP="00603F3F">
      <w:pPr>
        <w:widowControl w:val="0"/>
        <w:autoSpaceDE w:val="0"/>
        <w:autoSpaceDN w:val="0"/>
        <w:adjustRightInd w:val="0"/>
        <w:spacing w:after="0"/>
        <w:jc w:val="both"/>
        <w:rPr>
          <w:rFonts w:ascii="Times New Roman" w:hAnsi="Times New Roman"/>
          <w:sz w:val="20"/>
          <w:szCs w:val="20"/>
        </w:rPr>
      </w:pPr>
    </w:p>
    <w:p w14:paraId="230C8DD9" w14:textId="7B710CED"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 contratti di servizio definiscono e disciplinano i rapporti tra </w:t>
      </w:r>
      <w:r w:rsidR="00482EA1">
        <w:rPr>
          <w:rFonts w:ascii="Times New Roman" w:hAnsi="Times New Roman"/>
          <w:sz w:val="20"/>
          <w:szCs w:val="20"/>
        </w:rPr>
        <w:t>il Comune</w:t>
      </w:r>
      <w:r w:rsidRPr="00CD7FBE">
        <w:rPr>
          <w:rFonts w:ascii="Times New Roman" w:hAnsi="Times New Roman"/>
          <w:sz w:val="20"/>
          <w:szCs w:val="20"/>
        </w:rPr>
        <w:t xml:space="preserve"> e la </w:t>
      </w:r>
      <w:r>
        <w:rPr>
          <w:rFonts w:ascii="Times New Roman" w:hAnsi="Times New Roman"/>
          <w:sz w:val="20"/>
          <w:szCs w:val="20"/>
        </w:rPr>
        <w:t>società</w:t>
      </w:r>
      <w:r w:rsidRPr="00CD7FBE">
        <w:rPr>
          <w:rFonts w:ascii="Times New Roman" w:hAnsi="Times New Roman"/>
          <w:sz w:val="20"/>
          <w:szCs w:val="20"/>
        </w:rPr>
        <w:t xml:space="preserve"> per l’erogazione dei servizi e la realizzazione dei progetti richiesti </w:t>
      </w:r>
      <w:r w:rsidR="00482EA1">
        <w:rPr>
          <w:rFonts w:ascii="Times New Roman" w:hAnsi="Times New Roman"/>
          <w:sz w:val="20"/>
          <w:szCs w:val="20"/>
        </w:rPr>
        <w:t>dal Comune</w:t>
      </w:r>
      <w:r w:rsidRPr="00CD7FBE">
        <w:rPr>
          <w:rFonts w:ascii="Times New Roman" w:hAnsi="Times New Roman"/>
          <w:sz w:val="20"/>
          <w:szCs w:val="20"/>
        </w:rPr>
        <w:t xml:space="preserve"> sulla base dei fabbisogni espressi dalle Strutture </w:t>
      </w:r>
      <w:r w:rsidR="00482EA1">
        <w:rPr>
          <w:rFonts w:ascii="Times New Roman" w:hAnsi="Times New Roman"/>
          <w:sz w:val="20"/>
          <w:szCs w:val="20"/>
        </w:rPr>
        <w:t>comunali</w:t>
      </w:r>
      <w:r w:rsidRPr="00CD7FBE">
        <w:rPr>
          <w:rFonts w:ascii="Times New Roman" w:hAnsi="Times New Roman"/>
          <w:sz w:val="20"/>
          <w:szCs w:val="20"/>
        </w:rPr>
        <w:t xml:space="preserve"> o per la realizzazione di interventi previsti nei Programmi Operativi </w:t>
      </w:r>
      <w:r w:rsidR="00482EA1">
        <w:rPr>
          <w:rFonts w:ascii="Times New Roman" w:hAnsi="Times New Roman"/>
          <w:sz w:val="20"/>
          <w:szCs w:val="20"/>
        </w:rPr>
        <w:t>Comunali</w:t>
      </w:r>
      <w:r w:rsidRPr="00CD7FBE">
        <w:rPr>
          <w:rFonts w:ascii="Times New Roman" w:hAnsi="Times New Roman"/>
          <w:sz w:val="20"/>
          <w:szCs w:val="20"/>
        </w:rPr>
        <w:t>.</w:t>
      </w:r>
      <w:r>
        <w:rPr>
          <w:rFonts w:ascii="Times New Roman" w:hAnsi="Times New Roman"/>
          <w:sz w:val="20"/>
          <w:szCs w:val="20"/>
        </w:rPr>
        <w:t xml:space="preserve"> </w:t>
      </w:r>
      <w:r w:rsidRPr="00CD7FBE">
        <w:rPr>
          <w:rFonts w:ascii="Times New Roman" w:hAnsi="Times New Roman"/>
          <w:sz w:val="20"/>
          <w:szCs w:val="20"/>
        </w:rPr>
        <w:t xml:space="preserve">Per tutte le attività previste nei contratti, </w:t>
      </w:r>
      <w:r w:rsidR="007B5FB2">
        <w:rPr>
          <w:rFonts w:ascii="Times New Roman" w:hAnsi="Times New Roman"/>
          <w:sz w:val="20"/>
          <w:szCs w:val="20"/>
        </w:rPr>
        <w:t>il Comune</w:t>
      </w:r>
      <w:r w:rsidRPr="00CD7FBE">
        <w:rPr>
          <w:rFonts w:ascii="Times New Roman" w:hAnsi="Times New Roman"/>
          <w:sz w:val="20"/>
          <w:szCs w:val="20"/>
        </w:rPr>
        <w:t xml:space="preserve"> esercita le funzioni di programmazione, di indirizzo strategico operativo e di controllo, analogamente a quelle che esercita sui propri uffici e servizi, fatta salva l’autonomia della </w:t>
      </w:r>
      <w:r>
        <w:rPr>
          <w:rFonts w:ascii="Times New Roman" w:hAnsi="Times New Roman"/>
          <w:sz w:val="20"/>
          <w:szCs w:val="20"/>
        </w:rPr>
        <w:t>società</w:t>
      </w:r>
      <w:r w:rsidRPr="00CD7FBE">
        <w:rPr>
          <w:rFonts w:ascii="Times New Roman" w:hAnsi="Times New Roman"/>
          <w:sz w:val="20"/>
          <w:szCs w:val="20"/>
        </w:rPr>
        <w:t xml:space="preserve"> nella gestione dell’attività imprenditoriale e nell’organizzazione dei mezzi necessari al perseguimento degli obiettivi strategici ed alla realizzazione dei piani operativi.</w:t>
      </w:r>
      <w:r>
        <w:rPr>
          <w:rFonts w:ascii="Times New Roman" w:hAnsi="Times New Roman"/>
          <w:sz w:val="20"/>
          <w:szCs w:val="20"/>
        </w:rPr>
        <w:t xml:space="preserve"> </w:t>
      </w:r>
    </w:p>
    <w:p w14:paraId="33AA8683" w14:textId="77777777" w:rsidR="00603F3F" w:rsidRDefault="00603F3F" w:rsidP="00603F3F">
      <w:pPr>
        <w:widowControl w:val="0"/>
        <w:spacing w:after="0"/>
        <w:jc w:val="both"/>
        <w:rPr>
          <w:rFonts w:ascii="Times New Roman" w:hAnsi="Times New Roman"/>
          <w:sz w:val="20"/>
          <w:szCs w:val="20"/>
          <w:lang w:eastAsia="it-IT"/>
        </w:rPr>
      </w:pPr>
    </w:p>
    <w:p w14:paraId="2FF730C6" w14:textId="7B49AED5" w:rsidR="00603F3F"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Gli obiettivi il cui raggiungimento è demandato in misura diretta alla </w:t>
      </w:r>
      <w:r>
        <w:rPr>
          <w:rFonts w:ascii="Times New Roman" w:hAnsi="Times New Roman"/>
          <w:sz w:val="20"/>
          <w:szCs w:val="20"/>
          <w:lang w:eastAsia="it-IT"/>
        </w:rPr>
        <w:t>società</w:t>
      </w:r>
      <w:r w:rsidRPr="002453D3">
        <w:rPr>
          <w:rFonts w:ascii="Times New Roman" w:hAnsi="Times New Roman"/>
          <w:sz w:val="20"/>
          <w:szCs w:val="20"/>
          <w:lang w:eastAsia="it-IT"/>
        </w:rPr>
        <w:t xml:space="preserve"> sono inseriti all’interno del </w:t>
      </w:r>
      <w:r w:rsidR="007B5FB2">
        <w:rPr>
          <w:rFonts w:ascii="Times New Roman" w:hAnsi="Times New Roman"/>
          <w:sz w:val="20"/>
          <w:szCs w:val="20"/>
          <w:lang w:eastAsia="it-IT"/>
        </w:rPr>
        <w:t xml:space="preserve">DUP </w:t>
      </w:r>
      <w:r>
        <w:rPr>
          <w:rFonts w:ascii="Times New Roman" w:hAnsi="Times New Roman"/>
          <w:sz w:val="20"/>
          <w:szCs w:val="20"/>
          <w:lang w:eastAsia="it-IT"/>
        </w:rPr>
        <w:t>201</w:t>
      </w:r>
      <w:r w:rsidR="007B5FB2">
        <w:rPr>
          <w:rFonts w:ascii="Times New Roman" w:hAnsi="Times New Roman"/>
          <w:sz w:val="20"/>
          <w:szCs w:val="20"/>
          <w:lang w:eastAsia="it-IT"/>
        </w:rPr>
        <w:t>9</w:t>
      </w:r>
      <w:r>
        <w:rPr>
          <w:rFonts w:ascii="Times New Roman" w:hAnsi="Times New Roman"/>
          <w:sz w:val="20"/>
          <w:szCs w:val="20"/>
          <w:lang w:eastAsia="it-IT"/>
        </w:rPr>
        <w:t xml:space="preserve"> </w:t>
      </w:r>
      <w:r w:rsidR="007B5FB2">
        <w:rPr>
          <w:rFonts w:ascii="Times New Roman" w:hAnsi="Times New Roman"/>
          <w:sz w:val="20"/>
          <w:szCs w:val="20"/>
          <w:lang w:eastAsia="it-IT"/>
        </w:rPr>
        <w:t>-</w:t>
      </w:r>
      <w:r>
        <w:rPr>
          <w:rFonts w:ascii="Times New Roman" w:hAnsi="Times New Roman"/>
          <w:sz w:val="20"/>
          <w:szCs w:val="20"/>
          <w:lang w:eastAsia="it-IT"/>
        </w:rPr>
        <w:t xml:space="preserve"> 20</w:t>
      </w:r>
      <w:r w:rsidR="007B5FB2">
        <w:rPr>
          <w:rFonts w:ascii="Times New Roman" w:hAnsi="Times New Roman"/>
          <w:sz w:val="20"/>
          <w:szCs w:val="20"/>
          <w:lang w:eastAsia="it-IT"/>
        </w:rPr>
        <w:t>21</w:t>
      </w:r>
      <w:r>
        <w:rPr>
          <w:rFonts w:ascii="Times New Roman" w:hAnsi="Times New Roman"/>
          <w:sz w:val="20"/>
          <w:szCs w:val="20"/>
          <w:lang w:eastAsia="it-IT"/>
        </w:rPr>
        <w:t>. Tali obiettivi</w:t>
      </w:r>
      <w:r w:rsidRPr="002453D3">
        <w:rPr>
          <w:rFonts w:ascii="Times New Roman" w:hAnsi="Times New Roman"/>
          <w:sz w:val="20"/>
          <w:szCs w:val="20"/>
          <w:lang w:eastAsia="it-IT"/>
        </w:rPr>
        <w:t xml:space="preserve"> rappresentano delle indicazioni strategiche ampie, che possono essere sottoposte ad un processo di declinazione in sotto-obiettivi di natura operativa, attraverso il raggiungimento dei quali sarà possibile, per la </w:t>
      </w:r>
      <w:r>
        <w:rPr>
          <w:rFonts w:ascii="Times New Roman" w:hAnsi="Times New Roman"/>
          <w:sz w:val="20"/>
          <w:szCs w:val="20"/>
          <w:lang w:eastAsia="it-IT"/>
        </w:rPr>
        <w:t>società</w:t>
      </w:r>
      <w:r w:rsidRPr="002453D3">
        <w:rPr>
          <w:rFonts w:ascii="Times New Roman" w:hAnsi="Times New Roman"/>
          <w:sz w:val="20"/>
          <w:szCs w:val="20"/>
          <w:lang w:eastAsia="it-IT"/>
        </w:rPr>
        <w:t>, raggiungere le indicazioni ricevute dall’azionista unico.</w:t>
      </w:r>
    </w:p>
    <w:p w14:paraId="3916E5F6" w14:textId="77777777" w:rsidR="00603F3F" w:rsidRPr="002453D3" w:rsidRDefault="00603F3F" w:rsidP="00603F3F">
      <w:pPr>
        <w:widowControl w:val="0"/>
        <w:spacing w:after="0"/>
        <w:jc w:val="both"/>
        <w:rPr>
          <w:rFonts w:ascii="Times New Roman" w:hAnsi="Times New Roman"/>
          <w:sz w:val="20"/>
          <w:szCs w:val="20"/>
          <w:lang w:eastAsia="it-IT"/>
        </w:rPr>
      </w:pPr>
    </w:p>
    <w:p w14:paraId="54C38237" w14:textId="77777777" w:rsidR="00603F3F" w:rsidRPr="00646BB2" w:rsidRDefault="00603F3F" w:rsidP="003E3269">
      <w:pPr>
        <w:pStyle w:val="Titolo3"/>
        <w:keepNext w:val="0"/>
        <w:widowControl w:val="0"/>
        <w:numPr>
          <w:ilvl w:val="1"/>
          <w:numId w:val="31"/>
        </w:numPr>
        <w:spacing w:line="276" w:lineRule="auto"/>
        <w:ind w:left="426" w:hanging="426"/>
        <w:contextualSpacing w:val="0"/>
      </w:pPr>
      <w:bookmarkStart w:id="294" w:name="_Toc497222002"/>
      <w:bookmarkStart w:id="295" w:name="_Toc497502630"/>
      <w:bookmarkStart w:id="296" w:name="_Toc535854409"/>
      <w:r w:rsidRPr="00646BB2">
        <w:t>Obiettivi di processo e di Output: gli interventi strategici</w:t>
      </w:r>
      <w:bookmarkEnd w:id="294"/>
      <w:bookmarkEnd w:id="295"/>
      <w:bookmarkEnd w:id="296"/>
    </w:p>
    <w:p w14:paraId="6772A1A9" w14:textId="0E942768" w:rsidR="00603F3F"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L’insieme degli obiettivi riconducibili alle indicazioni sub-a) ricevute dallo </w:t>
      </w:r>
      <w:r w:rsidRPr="002A50A4">
        <w:rPr>
          <w:rFonts w:ascii="Times New Roman" w:hAnsi="Times New Roman"/>
          <w:i/>
          <w:sz w:val="20"/>
          <w:szCs w:val="20"/>
          <w:lang w:eastAsia="it-IT"/>
        </w:rPr>
        <w:t>shareholder</w:t>
      </w:r>
      <w:r w:rsidRPr="002453D3">
        <w:rPr>
          <w:rFonts w:ascii="Times New Roman" w:hAnsi="Times New Roman"/>
          <w:sz w:val="20"/>
          <w:szCs w:val="20"/>
          <w:lang w:eastAsia="it-IT"/>
        </w:rPr>
        <w:t xml:space="preserve"> unico coinvolgono, sotto il profilo gestionale e manageriale, dimensioni aziendali che si rifanno sia ad obiettivi di processo che ad obiettivi di </w:t>
      </w:r>
      <w:r w:rsidRPr="002A50A4">
        <w:rPr>
          <w:rFonts w:ascii="Times New Roman" w:hAnsi="Times New Roman"/>
          <w:i/>
          <w:sz w:val="20"/>
          <w:szCs w:val="20"/>
          <w:lang w:eastAsia="it-IT"/>
        </w:rPr>
        <w:t>output</w:t>
      </w:r>
      <w:r w:rsidRPr="002453D3">
        <w:rPr>
          <w:rFonts w:ascii="Times New Roman" w:hAnsi="Times New Roman"/>
          <w:sz w:val="20"/>
          <w:szCs w:val="20"/>
          <w:lang w:eastAsia="it-IT"/>
        </w:rPr>
        <w:t>.</w:t>
      </w:r>
      <w:r>
        <w:rPr>
          <w:rFonts w:ascii="Times New Roman" w:hAnsi="Times New Roman"/>
          <w:sz w:val="20"/>
          <w:szCs w:val="20"/>
          <w:lang w:eastAsia="it-IT"/>
        </w:rPr>
        <w:t xml:space="preserve"> </w:t>
      </w:r>
      <w:r w:rsidRPr="002453D3">
        <w:rPr>
          <w:rFonts w:ascii="Times New Roman" w:hAnsi="Times New Roman"/>
          <w:sz w:val="20"/>
          <w:szCs w:val="20"/>
          <w:lang w:eastAsia="it-IT"/>
        </w:rPr>
        <w:t>La differenziazione delle due dimensioni permetterà dunque di scomporre ad un maggior livello di dettaglio l’insieme delle attività che verranno pos</w:t>
      </w:r>
      <w:r>
        <w:rPr>
          <w:rFonts w:ascii="Times New Roman" w:hAnsi="Times New Roman"/>
          <w:sz w:val="20"/>
          <w:szCs w:val="20"/>
          <w:lang w:eastAsia="it-IT"/>
        </w:rPr>
        <w:t>te in essere per ognuna di esse.</w:t>
      </w:r>
    </w:p>
    <w:p w14:paraId="33B0C835" w14:textId="77777777" w:rsidR="00603F3F" w:rsidRPr="002453D3" w:rsidRDefault="00603F3F" w:rsidP="00603F3F">
      <w:pPr>
        <w:widowControl w:val="0"/>
        <w:spacing w:after="0"/>
        <w:rPr>
          <w:rFonts w:ascii="Times New Roman" w:hAnsi="Times New Roman"/>
          <w:sz w:val="20"/>
          <w:szCs w:val="20"/>
          <w:lang w:eastAsia="it-IT"/>
        </w:rPr>
      </w:pPr>
    </w:p>
    <w:p w14:paraId="1FFD5DBE" w14:textId="77777777" w:rsidR="00603F3F" w:rsidRPr="007B5FB2" w:rsidRDefault="00603F3F" w:rsidP="00603F3F">
      <w:pPr>
        <w:pStyle w:val="Titolo4"/>
        <w:keepNext w:val="0"/>
        <w:widowControl w:val="0"/>
        <w:rPr>
          <w:b/>
          <w:lang w:val="it-IT"/>
        </w:rPr>
      </w:pPr>
      <w:bookmarkStart w:id="297" w:name="_Toc535854410"/>
      <w:r w:rsidRPr="007B5FB2">
        <w:rPr>
          <w:b/>
          <w:lang w:val="it-IT"/>
        </w:rPr>
        <w:t>6.1.1.</w:t>
      </w:r>
      <w:r w:rsidRPr="007B5FB2">
        <w:rPr>
          <w:b/>
          <w:lang w:val="it-IT"/>
        </w:rPr>
        <w:tab/>
        <w:t>Obiettivi di Processo</w:t>
      </w:r>
      <w:bookmarkEnd w:id="297"/>
    </w:p>
    <w:p w14:paraId="5601F63F" w14:textId="77777777" w:rsidR="00603F3F" w:rsidRPr="002453D3"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Con riferimento agli obiettivi di processo, le misure adottate possono essere classificate come segue:</w:t>
      </w:r>
    </w:p>
    <w:p w14:paraId="6D2759E8" w14:textId="77777777" w:rsidR="002559B6" w:rsidRPr="002559B6" w:rsidRDefault="00603F3F" w:rsidP="002559B6">
      <w:pPr>
        <w:pStyle w:val="Paragrafoelenco"/>
        <w:widowControl w:val="0"/>
        <w:numPr>
          <w:ilvl w:val="0"/>
          <w:numId w:val="46"/>
        </w:numPr>
        <w:spacing w:after="0" w:line="276" w:lineRule="auto"/>
        <w:contextualSpacing w:val="0"/>
        <w:jc w:val="both"/>
        <w:rPr>
          <w:rFonts w:ascii="Times New Roman" w:hAnsi="Times New Roman"/>
          <w:i/>
          <w:sz w:val="20"/>
          <w:szCs w:val="20"/>
          <w:lang w:eastAsia="it-IT"/>
        </w:rPr>
      </w:pPr>
      <w:r w:rsidRPr="002559B6">
        <w:rPr>
          <w:rFonts w:ascii="Times New Roman" w:hAnsi="Times New Roman"/>
          <w:i/>
          <w:sz w:val="20"/>
          <w:szCs w:val="20"/>
          <w:lang w:eastAsia="it-IT"/>
        </w:rPr>
        <w:t>Azioni volte al miglioramento dell’economicità gestionale;</w:t>
      </w:r>
    </w:p>
    <w:p w14:paraId="120336A0" w14:textId="77777777" w:rsidR="002559B6" w:rsidRPr="002559B6" w:rsidRDefault="00603F3F" w:rsidP="002559B6">
      <w:pPr>
        <w:pStyle w:val="Paragrafoelenco"/>
        <w:widowControl w:val="0"/>
        <w:numPr>
          <w:ilvl w:val="0"/>
          <w:numId w:val="46"/>
        </w:numPr>
        <w:spacing w:after="0" w:line="276" w:lineRule="auto"/>
        <w:contextualSpacing w:val="0"/>
        <w:jc w:val="both"/>
        <w:rPr>
          <w:rFonts w:ascii="Times New Roman" w:hAnsi="Times New Roman"/>
          <w:i/>
          <w:sz w:val="20"/>
          <w:szCs w:val="20"/>
          <w:lang w:eastAsia="it-IT"/>
        </w:rPr>
      </w:pPr>
      <w:r w:rsidRPr="002559B6">
        <w:rPr>
          <w:rFonts w:ascii="Times New Roman" w:hAnsi="Times New Roman"/>
          <w:i/>
          <w:sz w:val="20"/>
          <w:szCs w:val="20"/>
          <w:lang w:eastAsia="it-IT"/>
        </w:rPr>
        <w:t>Azioni volte al miglioramento dell’efficacia dei servizi offerti;</w:t>
      </w:r>
    </w:p>
    <w:p w14:paraId="057E2922" w14:textId="4B04CB97" w:rsidR="00603F3F" w:rsidRPr="002559B6" w:rsidRDefault="00603F3F" w:rsidP="002559B6">
      <w:pPr>
        <w:pStyle w:val="Paragrafoelenco"/>
        <w:widowControl w:val="0"/>
        <w:numPr>
          <w:ilvl w:val="0"/>
          <w:numId w:val="46"/>
        </w:numPr>
        <w:spacing w:after="0" w:line="276" w:lineRule="auto"/>
        <w:contextualSpacing w:val="0"/>
        <w:jc w:val="both"/>
        <w:rPr>
          <w:rFonts w:ascii="Times New Roman" w:hAnsi="Times New Roman"/>
          <w:i/>
          <w:sz w:val="20"/>
          <w:szCs w:val="20"/>
          <w:lang w:eastAsia="it-IT"/>
        </w:rPr>
      </w:pPr>
      <w:r w:rsidRPr="002559B6">
        <w:rPr>
          <w:rFonts w:ascii="Times New Roman" w:hAnsi="Times New Roman"/>
          <w:i/>
          <w:sz w:val="20"/>
          <w:szCs w:val="20"/>
          <w:lang w:eastAsia="it-IT"/>
        </w:rPr>
        <w:t>Azioni volte al raggiungimento di Specifici Obiettivi.</w:t>
      </w:r>
    </w:p>
    <w:p w14:paraId="53FCA5E3" w14:textId="24BF055A" w:rsidR="00603F3F" w:rsidRPr="002453D3"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Più nel dettaglio, gli interventi che </w:t>
      </w:r>
      <w:r>
        <w:rPr>
          <w:rFonts w:ascii="Times New Roman" w:hAnsi="Times New Roman"/>
          <w:sz w:val="20"/>
          <w:szCs w:val="20"/>
          <w:lang w:eastAsia="it-IT"/>
        </w:rPr>
        <w:t>la società</w:t>
      </w:r>
      <w:r w:rsidRPr="002453D3">
        <w:rPr>
          <w:rFonts w:ascii="Times New Roman" w:hAnsi="Times New Roman"/>
          <w:sz w:val="20"/>
          <w:szCs w:val="20"/>
          <w:lang w:eastAsia="it-IT"/>
        </w:rPr>
        <w:t xml:space="preserve"> prevede di attivare in questo versante nel triennio considerato sono elencati di seguito:</w:t>
      </w:r>
    </w:p>
    <w:p w14:paraId="6A4075B6" w14:textId="77777777" w:rsidR="00A10FBB" w:rsidRPr="00A10FBB" w:rsidRDefault="00603F3F" w:rsidP="00A10FBB">
      <w:pPr>
        <w:pStyle w:val="Paragrafoelenco"/>
        <w:widowControl w:val="0"/>
        <w:numPr>
          <w:ilvl w:val="0"/>
          <w:numId w:val="47"/>
        </w:numPr>
        <w:spacing w:after="0" w:line="276" w:lineRule="auto"/>
        <w:contextualSpacing w:val="0"/>
        <w:jc w:val="both"/>
        <w:rPr>
          <w:rFonts w:ascii="Times New Roman" w:hAnsi="Times New Roman"/>
          <w:b/>
          <w:i/>
          <w:sz w:val="20"/>
          <w:szCs w:val="20"/>
          <w:lang w:eastAsia="it-IT"/>
        </w:rPr>
      </w:pPr>
      <w:r w:rsidRPr="00A10FBB">
        <w:rPr>
          <w:rFonts w:ascii="Times New Roman" w:hAnsi="Times New Roman"/>
          <w:b/>
          <w:i/>
          <w:sz w:val="20"/>
          <w:szCs w:val="20"/>
          <w:lang w:eastAsia="it-IT"/>
        </w:rPr>
        <w:t xml:space="preserve">Formalizzazione dei Processi Aziendali - </w:t>
      </w:r>
      <w:r w:rsidRPr="00A10FBB">
        <w:rPr>
          <w:rFonts w:ascii="Times New Roman" w:hAnsi="Times New Roman"/>
          <w:i/>
          <w:sz w:val="20"/>
          <w:szCs w:val="20"/>
          <w:lang w:eastAsia="it-IT"/>
        </w:rPr>
        <w:t>La Formalizzazione dei Processi Organizzativi e Informativi Aziendali, unita all’applicazione di una struttura di tipo funzionale e al processo di formazione del personale, permette di introdurre criteri di monitoraggio all’interno di ogni processo organizzativo, così da poter incrementare l’efficienza e l’efficacia gestionale interna.</w:t>
      </w:r>
    </w:p>
    <w:p w14:paraId="31789223" w14:textId="75AC337F" w:rsidR="00603F3F" w:rsidRPr="00A10FBB" w:rsidRDefault="00603F3F" w:rsidP="00A10FBB">
      <w:pPr>
        <w:pStyle w:val="Paragrafoelenco"/>
        <w:widowControl w:val="0"/>
        <w:numPr>
          <w:ilvl w:val="0"/>
          <w:numId w:val="47"/>
        </w:numPr>
        <w:spacing w:after="0" w:line="276" w:lineRule="auto"/>
        <w:contextualSpacing w:val="0"/>
        <w:jc w:val="both"/>
        <w:rPr>
          <w:rFonts w:ascii="Times New Roman" w:hAnsi="Times New Roman"/>
          <w:b/>
          <w:i/>
          <w:sz w:val="20"/>
          <w:szCs w:val="20"/>
          <w:lang w:eastAsia="it-IT"/>
        </w:rPr>
      </w:pPr>
      <w:r w:rsidRPr="00A10FBB">
        <w:rPr>
          <w:rFonts w:ascii="Times New Roman" w:hAnsi="Times New Roman"/>
          <w:b/>
          <w:i/>
          <w:sz w:val="20"/>
          <w:szCs w:val="20"/>
          <w:lang w:eastAsia="it-IT"/>
        </w:rPr>
        <w:t xml:space="preserve">Potenziamento Sistemi di Certificazione - </w:t>
      </w:r>
      <w:r w:rsidRPr="00A10FBB">
        <w:rPr>
          <w:rFonts w:ascii="Times New Roman" w:hAnsi="Times New Roman"/>
          <w:i/>
          <w:sz w:val="20"/>
          <w:szCs w:val="20"/>
          <w:lang w:eastAsia="it-IT"/>
        </w:rPr>
        <w:t>al fine di garantire allo shareholder</w:t>
      </w:r>
      <w:r w:rsidR="00EA53FC" w:rsidRPr="00A10FBB">
        <w:rPr>
          <w:rFonts w:ascii="Times New Roman" w:hAnsi="Times New Roman"/>
          <w:i/>
          <w:sz w:val="20"/>
          <w:szCs w:val="20"/>
          <w:lang w:eastAsia="it-IT"/>
        </w:rPr>
        <w:t xml:space="preserve"> unico e ai cittadini del Comune di Marino </w:t>
      </w:r>
      <w:r w:rsidRPr="00A10FBB">
        <w:rPr>
          <w:rFonts w:ascii="Times New Roman" w:hAnsi="Times New Roman"/>
          <w:i/>
          <w:sz w:val="20"/>
          <w:szCs w:val="20"/>
          <w:lang w:eastAsia="it-IT"/>
        </w:rPr>
        <w:t xml:space="preserve">che il proprio operato rifletta i più elevati standard qualitativi di gestione, la società </w:t>
      </w:r>
      <w:r w:rsidR="00EA53FC" w:rsidRPr="00A10FBB">
        <w:rPr>
          <w:rFonts w:ascii="Times New Roman" w:hAnsi="Times New Roman"/>
          <w:i/>
          <w:sz w:val="20"/>
          <w:szCs w:val="20"/>
          <w:lang w:eastAsia="it-IT"/>
        </w:rPr>
        <w:t>avvierà</w:t>
      </w:r>
      <w:r w:rsidRPr="00A10FBB">
        <w:rPr>
          <w:rFonts w:ascii="Times New Roman" w:hAnsi="Times New Roman"/>
          <w:i/>
          <w:sz w:val="20"/>
          <w:szCs w:val="20"/>
          <w:lang w:eastAsia="it-IT"/>
        </w:rPr>
        <w:t xml:space="preserve"> a partire dal 201</w:t>
      </w:r>
      <w:r w:rsidR="00EA53FC" w:rsidRPr="00A10FBB">
        <w:rPr>
          <w:rFonts w:ascii="Times New Roman" w:hAnsi="Times New Roman"/>
          <w:i/>
          <w:sz w:val="20"/>
          <w:szCs w:val="20"/>
          <w:lang w:eastAsia="it-IT"/>
        </w:rPr>
        <w:t>9</w:t>
      </w:r>
      <w:r w:rsidRPr="00A10FBB">
        <w:rPr>
          <w:rFonts w:ascii="Times New Roman" w:hAnsi="Times New Roman"/>
          <w:i/>
          <w:sz w:val="20"/>
          <w:szCs w:val="20"/>
          <w:lang w:eastAsia="it-IT"/>
        </w:rPr>
        <w:t xml:space="preserve"> e svilupperà nel triennio considerato una serie di azioni volte ad estendere e potenziare l’insieme di certificazioni possedute. Sono in tal senso previsti, tra gli altri, interventi in materia di sicurezza sul lavoro, di gestione e prevenzione dei rischi, di prevenzione della corruzione e di gestione della qualità.</w:t>
      </w:r>
    </w:p>
    <w:p w14:paraId="798B23E6" w14:textId="77777777" w:rsidR="00603F3F" w:rsidRPr="007A4B15" w:rsidRDefault="00603F3F" w:rsidP="00603F3F">
      <w:pPr>
        <w:pStyle w:val="Paragrafoelenco"/>
        <w:widowControl w:val="0"/>
        <w:spacing w:after="0" w:line="276" w:lineRule="auto"/>
        <w:ind w:left="0"/>
        <w:contextualSpacing w:val="0"/>
        <w:jc w:val="both"/>
        <w:rPr>
          <w:rFonts w:ascii="Times New Roman" w:hAnsi="Times New Roman"/>
          <w:b/>
          <w:sz w:val="20"/>
          <w:szCs w:val="20"/>
          <w:lang w:eastAsia="it-IT"/>
        </w:rPr>
      </w:pPr>
    </w:p>
    <w:p w14:paraId="69ED30ED" w14:textId="77777777" w:rsidR="00603F3F" w:rsidRPr="007309C3" w:rsidRDefault="00603F3F" w:rsidP="00603F3F">
      <w:pPr>
        <w:pStyle w:val="Titolo4"/>
        <w:keepNext w:val="0"/>
        <w:widowControl w:val="0"/>
        <w:rPr>
          <w:b/>
          <w:lang w:val="it-IT"/>
        </w:rPr>
      </w:pPr>
      <w:bookmarkStart w:id="298" w:name="_Toc535854411"/>
      <w:r w:rsidRPr="007309C3">
        <w:rPr>
          <w:b/>
          <w:lang w:val="it-IT"/>
        </w:rPr>
        <w:t>6.1.2.</w:t>
      </w:r>
      <w:r w:rsidRPr="007309C3">
        <w:rPr>
          <w:b/>
          <w:lang w:val="it-IT"/>
        </w:rPr>
        <w:tab/>
        <w:t>Obiettivi di Output</w:t>
      </w:r>
      <w:bookmarkEnd w:id="298"/>
    </w:p>
    <w:p w14:paraId="4B7AF666" w14:textId="77777777" w:rsidR="00603F3F" w:rsidRPr="002453D3" w:rsidRDefault="00603F3F" w:rsidP="00603F3F">
      <w:pPr>
        <w:widowControl w:val="0"/>
        <w:spacing w:after="0"/>
        <w:jc w:val="both"/>
        <w:rPr>
          <w:rFonts w:ascii="Times New Roman" w:hAnsi="Times New Roman"/>
          <w:sz w:val="20"/>
          <w:szCs w:val="20"/>
          <w:lang w:eastAsia="it-IT"/>
        </w:rPr>
      </w:pPr>
      <w:r w:rsidRPr="002453D3">
        <w:rPr>
          <w:rFonts w:ascii="Times New Roman" w:hAnsi="Times New Roman"/>
          <w:sz w:val="20"/>
          <w:szCs w:val="20"/>
          <w:lang w:eastAsia="it-IT"/>
        </w:rPr>
        <w:t xml:space="preserve">Con riferimento agli obiettivi di </w:t>
      </w:r>
      <w:r w:rsidRPr="00D43CB2">
        <w:rPr>
          <w:rFonts w:ascii="Times New Roman" w:hAnsi="Times New Roman"/>
          <w:i/>
          <w:sz w:val="20"/>
          <w:szCs w:val="20"/>
          <w:lang w:eastAsia="it-IT"/>
        </w:rPr>
        <w:t>output</w:t>
      </w:r>
      <w:r w:rsidRPr="002453D3">
        <w:rPr>
          <w:rFonts w:ascii="Times New Roman" w:hAnsi="Times New Roman"/>
          <w:sz w:val="20"/>
          <w:szCs w:val="20"/>
          <w:lang w:eastAsia="it-IT"/>
        </w:rPr>
        <w:t xml:space="preserve"> o di </w:t>
      </w:r>
      <w:r w:rsidRPr="00D43CB2">
        <w:rPr>
          <w:rFonts w:ascii="Times New Roman" w:hAnsi="Times New Roman"/>
          <w:i/>
          <w:sz w:val="20"/>
          <w:szCs w:val="20"/>
          <w:lang w:eastAsia="it-IT"/>
        </w:rPr>
        <w:t>performance</w:t>
      </w:r>
      <w:r w:rsidRPr="002453D3">
        <w:rPr>
          <w:rFonts w:ascii="Times New Roman" w:hAnsi="Times New Roman"/>
          <w:sz w:val="20"/>
          <w:szCs w:val="20"/>
          <w:lang w:eastAsia="it-IT"/>
        </w:rPr>
        <w:t>, le misure adottate possono essere classificate come segue:</w:t>
      </w:r>
    </w:p>
    <w:p w14:paraId="5435AF0D" w14:textId="77777777" w:rsidR="00A10FBB" w:rsidRPr="00A10FBB" w:rsidRDefault="00603F3F" w:rsidP="00A10FBB">
      <w:pPr>
        <w:pStyle w:val="Paragrafoelenco"/>
        <w:widowControl w:val="0"/>
        <w:numPr>
          <w:ilvl w:val="0"/>
          <w:numId w:val="48"/>
        </w:numPr>
        <w:spacing w:after="0" w:line="276" w:lineRule="auto"/>
        <w:contextualSpacing w:val="0"/>
        <w:jc w:val="both"/>
        <w:rPr>
          <w:rFonts w:ascii="Times New Roman" w:hAnsi="Times New Roman"/>
          <w:i/>
          <w:sz w:val="20"/>
          <w:szCs w:val="20"/>
          <w:lang w:eastAsia="it-IT"/>
        </w:rPr>
      </w:pPr>
      <w:r w:rsidRPr="00A10FBB">
        <w:rPr>
          <w:rFonts w:ascii="Times New Roman" w:hAnsi="Times New Roman"/>
          <w:i/>
          <w:sz w:val="20"/>
          <w:szCs w:val="20"/>
          <w:lang w:eastAsia="it-IT"/>
        </w:rPr>
        <w:t>Misure volte ad incrementare una cultura aziendale per favorire sviluppo identitario Societario e la creazione di valori condivisi;</w:t>
      </w:r>
    </w:p>
    <w:p w14:paraId="0530E92D" w14:textId="77777777" w:rsidR="00A10FBB" w:rsidRPr="00A10FBB" w:rsidRDefault="00603F3F" w:rsidP="00A10FBB">
      <w:pPr>
        <w:pStyle w:val="Paragrafoelenco"/>
        <w:widowControl w:val="0"/>
        <w:numPr>
          <w:ilvl w:val="0"/>
          <w:numId w:val="48"/>
        </w:numPr>
        <w:spacing w:after="0" w:line="276" w:lineRule="auto"/>
        <w:contextualSpacing w:val="0"/>
        <w:jc w:val="both"/>
        <w:rPr>
          <w:rFonts w:ascii="Times New Roman" w:hAnsi="Times New Roman"/>
          <w:i/>
          <w:sz w:val="20"/>
          <w:szCs w:val="20"/>
          <w:lang w:eastAsia="it-IT"/>
        </w:rPr>
      </w:pPr>
      <w:r w:rsidRPr="00A10FBB">
        <w:rPr>
          <w:rFonts w:ascii="Times New Roman" w:hAnsi="Times New Roman"/>
          <w:i/>
          <w:sz w:val="20"/>
          <w:szCs w:val="20"/>
          <w:lang w:eastAsia="it-IT"/>
        </w:rPr>
        <w:t>Azioni atte a migliorare il livello qualitativo dei deliverable societari facendoli aderire alle aspettative ed alle necessità degli stakeholder di riferimento;</w:t>
      </w:r>
    </w:p>
    <w:p w14:paraId="323FEEC8" w14:textId="62B2ECBD" w:rsidR="00603F3F" w:rsidRPr="00A10FBB" w:rsidRDefault="00603F3F" w:rsidP="00A10FBB">
      <w:pPr>
        <w:pStyle w:val="Paragrafoelenco"/>
        <w:widowControl w:val="0"/>
        <w:numPr>
          <w:ilvl w:val="0"/>
          <w:numId w:val="48"/>
        </w:numPr>
        <w:spacing w:after="0" w:line="276" w:lineRule="auto"/>
        <w:contextualSpacing w:val="0"/>
        <w:jc w:val="both"/>
        <w:rPr>
          <w:rFonts w:ascii="Times New Roman" w:hAnsi="Times New Roman"/>
          <w:sz w:val="20"/>
          <w:szCs w:val="20"/>
          <w:lang w:eastAsia="it-IT"/>
        </w:rPr>
      </w:pPr>
      <w:r w:rsidRPr="00A10FBB">
        <w:rPr>
          <w:rFonts w:ascii="Times New Roman" w:hAnsi="Times New Roman"/>
          <w:i/>
          <w:sz w:val="20"/>
          <w:szCs w:val="20"/>
          <w:lang w:eastAsia="it-IT"/>
        </w:rPr>
        <w:t>Azioni volte ad aumentare il livello qualitativo dei deliverable societari attraverso il confronto con altre società ed organizzazioni analoghe per personalità giuridica, per shareholder di controllo, per tipologia di servizi erogati e per ambiti prioritari di riferimento.</w:t>
      </w:r>
    </w:p>
    <w:p w14:paraId="0E1DFDAC" w14:textId="42F797DC" w:rsidR="00603F3F" w:rsidRPr="007A4B15" w:rsidRDefault="00603F3F" w:rsidP="00603F3F">
      <w:pPr>
        <w:widowControl w:val="0"/>
        <w:spacing w:after="0"/>
        <w:jc w:val="both"/>
        <w:rPr>
          <w:rFonts w:ascii="Times New Roman" w:hAnsi="Times New Roman"/>
          <w:sz w:val="20"/>
          <w:szCs w:val="20"/>
          <w:lang w:eastAsia="it-IT"/>
        </w:rPr>
      </w:pPr>
      <w:r w:rsidRPr="007A4B15">
        <w:rPr>
          <w:rFonts w:ascii="Times New Roman" w:hAnsi="Times New Roman"/>
          <w:sz w:val="20"/>
          <w:szCs w:val="20"/>
          <w:lang w:eastAsia="it-IT"/>
        </w:rPr>
        <w:t xml:space="preserve">In particolare, le azioni che </w:t>
      </w:r>
      <w:r>
        <w:rPr>
          <w:rFonts w:ascii="Times New Roman" w:hAnsi="Times New Roman"/>
          <w:sz w:val="20"/>
          <w:szCs w:val="20"/>
          <w:lang w:eastAsia="it-IT"/>
        </w:rPr>
        <w:t>si</w:t>
      </w:r>
      <w:r w:rsidRPr="007A4B15">
        <w:rPr>
          <w:rFonts w:ascii="Times New Roman" w:hAnsi="Times New Roman"/>
          <w:sz w:val="20"/>
          <w:szCs w:val="20"/>
          <w:lang w:eastAsia="it-IT"/>
        </w:rPr>
        <w:t xml:space="preserve"> prevede di attivare sono elencate di seguito:</w:t>
      </w:r>
    </w:p>
    <w:p w14:paraId="3958FF3B" w14:textId="77777777" w:rsidR="00A10FBB" w:rsidRPr="00A10FBB" w:rsidRDefault="00603F3F" w:rsidP="00A10FBB">
      <w:pPr>
        <w:pStyle w:val="Paragrafoelenco"/>
        <w:widowControl w:val="0"/>
        <w:numPr>
          <w:ilvl w:val="0"/>
          <w:numId w:val="49"/>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Azioni volte ad incrementare l’emergere di una cultura d’impresa centrata sull’utente finale (user-centered) </w:t>
      </w:r>
      <w:r w:rsidR="00AB19A2" w:rsidRPr="00A10FBB">
        <w:rPr>
          <w:rFonts w:ascii="Times New Roman" w:hAnsi="Times New Roman"/>
          <w:b/>
          <w:i/>
          <w:sz w:val="20"/>
          <w:szCs w:val="20"/>
          <w:lang w:eastAsia="it-IT"/>
        </w:rPr>
        <w:t>-</w:t>
      </w:r>
      <w:r w:rsidRPr="00A10FBB">
        <w:rPr>
          <w:rFonts w:ascii="Times New Roman" w:hAnsi="Times New Roman"/>
          <w:b/>
          <w:i/>
          <w:sz w:val="20"/>
          <w:szCs w:val="20"/>
          <w:lang w:eastAsia="it-IT"/>
        </w:rPr>
        <w:t xml:space="preserve"> </w:t>
      </w:r>
      <w:r w:rsidRPr="00A10FBB">
        <w:rPr>
          <w:rFonts w:ascii="Times New Roman" w:hAnsi="Times New Roman"/>
          <w:i/>
          <w:sz w:val="20"/>
          <w:szCs w:val="20"/>
          <w:lang w:eastAsia="it-IT"/>
        </w:rPr>
        <w:t>la società opera in un contesto multi-stakeholder, nel quale committente, beneficiario diretto e beneficiario finale dei servizi erogati non sempre coincidono. L’adozione di una cultura societaria centrata sulle esigenze e sui bisogni dell’utente finale, oltreché dei beneficiari diretti e delle esigenze dell’azionista unico, permette di introdurre all’interno dei processi produttivi un incremento dell’utilità percepita dall’utente finale (cittadini regionali) con un aumento della comunicabilità dei risultati ottenuti presso i cittadini e le imprese regionali, ed un correlato aumento della percezione del valore aggiunto generato per il territorio;</w:t>
      </w:r>
    </w:p>
    <w:p w14:paraId="092D36FD" w14:textId="77777777" w:rsidR="00A10FBB" w:rsidRPr="00A10FBB" w:rsidRDefault="00603F3F" w:rsidP="00A10FBB">
      <w:pPr>
        <w:pStyle w:val="Paragrafoelenco"/>
        <w:widowControl w:val="0"/>
        <w:numPr>
          <w:ilvl w:val="0"/>
          <w:numId w:val="49"/>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Valutazione dei bisogni degli Stakeholder - </w:t>
      </w:r>
      <w:r w:rsidRPr="00A10FBB">
        <w:rPr>
          <w:rFonts w:ascii="Times New Roman" w:hAnsi="Times New Roman"/>
          <w:i/>
          <w:sz w:val="20"/>
          <w:szCs w:val="20"/>
          <w:lang w:eastAsia="it-IT"/>
        </w:rPr>
        <w:t>Fortemente correlata con il punto precedente è la stesura di report per la definizione dei bisogni dei differenti stakeholder aziendali, al fine di poter offrire ad ogni interlocutore un servizio personalizzato sulla base delle esigenze concrete che esso presenta;</w:t>
      </w:r>
    </w:p>
    <w:p w14:paraId="426D1E65" w14:textId="5962D37A" w:rsidR="00A10FBB" w:rsidRPr="00A10FBB" w:rsidRDefault="00603F3F" w:rsidP="00A10FBB">
      <w:pPr>
        <w:pStyle w:val="Paragrafoelenco"/>
        <w:widowControl w:val="0"/>
        <w:numPr>
          <w:ilvl w:val="0"/>
          <w:numId w:val="49"/>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Adozione di un programma di valutazione delle qualità delle performance attraverso interventi di Customer Satisfaction - </w:t>
      </w:r>
      <w:r w:rsidRPr="00A10FBB">
        <w:rPr>
          <w:rFonts w:ascii="Times New Roman" w:hAnsi="Times New Roman"/>
          <w:i/>
          <w:sz w:val="20"/>
          <w:szCs w:val="20"/>
          <w:lang w:eastAsia="it-IT"/>
        </w:rPr>
        <w:t xml:space="preserve">In linea con i punti precedentemente espressi, la società si doterà di un programma di valutazione della qualità percepita delle performance attraverso la somministrazione di questionari di Customer Satisfaction ai propri stakeholder di riferimento, veicolando, in misura prioritaria, il programma di valutazione </w:t>
      </w:r>
      <w:r w:rsidR="00EA53FC" w:rsidRPr="00A10FBB">
        <w:rPr>
          <w:rFonts w:ascii="Times New Roman" w:hAnsi="Times New Roman"/>
          <w:i/>
          <w:sz w:val="20"/>
          <w:szCs w:val="20"/>
          <w:lang w:eastAsia="it-IT"/>
        </w:rPr>
        <w:t>al Comune di Marino</w:t>
      </w:r>
      <w:r w:rsidR="00A10FBB" w:rsidRPr="00A10FBB">
        <w:rPr>
          <w:rFonts w:ascii="Times New Roman" w:hAnsi="Times New Roman"/>
          <w:i/>
          <w:sz w:val="20"/>
          <w:szCs w:val="20"/>
          <w:lang w:eastAsia="it-IT"/>
        </w:rPr>
        <w:t>;</w:t>
      </w:r>
      <w:r w:rsidRPr="00A10FBB">
        <w:rPr>
          <w:rFonts w:ascii="Times New Roman" w:hAnsi="Times New Roman"/>
          <w:i/>
          <w:sz w:val="20"/>
          <w:szCs w:val="20"/>
          <w:lang w:eastAsia="it-IT"/>
        </w:rPr>
        <w:t xml:space="preserve"> </w:t>
      </w:r>
    </w:p>
    <w:p w14:paraId="0CE2EE5E" w14:textId="7A5C4FC4" w:rsidR="00603F3F" w:rsidRPr="00A10FBB" w:rsidRDefault="00603F3F" w:rsidP="00A10FBB">
      <w:pPr>
        <w:pStyle w:val="Paragrafoelenco"/>
        <w:widowControl w:val="0"/>
        <w:numPr>
          <w:ilvl w:val="0"/>
          <w:numId w:val="49"/>
        </w:numPr>
        <w:spacing w:after="0" w:line="276" w:lineRule="auto"/>
        <w:contextualSpacing w:val="0"/>
        <w:jc w:val="both"/>
        <w:rPr>
          <w:rFonts w:ascii="Times New Roman" w:hAnsi="Times New Roman"/>
          <w:i/>
          <w:sz w:val="20"/>
          <w:szCs w:val="20"/>
          <w:lang w:eastAsia="it-IT"/>
        </w:rPr>
      </w:pPr>
      <w:r w:rsidRPr="00A10FBB">
        <w:rPr>
          <w:rFonts w:ascii="Times New Roman" w:hAnsi="Times New Roman"/>
          <w:b/>
          <w:i/>
          <w:sz w:val="20"/>
          <w:szCs w:val="20"/>
          <w:lang w:eastAsia="it-IT"/>
        </w:rPr>
        <w:t xml:space="preserve">Communication&amp;Dissemination - </w:t>
      </w:r>
      <w:r w:rsidRPr="00A10FBB">
        <w:rPr>
          <w:rFonts w:ascii="Times New Roman" w:hAnsi="Times New Roman"/>
          <w:i/>
          <w:sz w:val="20"/>
          <w:szCs w:val="20"/>
          <w:lang w:eastAsia="it-IT"/>
        </w:rPr>
        <w:t>I risultati, anche intermedi, dei due tavoli di confronto precedentemente descritti, rappresentano un duplice valore: da un lato in essi infatti vengono prodotti degli insight in grado di guidare l’orientamento strategico in merito a tematiche estremamente rilevanti per lo sviluppo territoriale e per la gestione efficiente delle risorse di finanza pubblica, dall’altro essi costituiscono materiali di diffusione che permettono alla società di poter condividere i risultati della propria attività. Il piano di diffusione dei risultati, che verrà redatto nel corso del prossimo esercizio finanziario, sarà associato inoltre ad un piano di comunicazione integrata della società, con lo scopo di far maturare sia presso gli stakeholder diretti che presso la cittadinanza regionale un miglior livello di awareness da cui deriva una migliore percezione dell’attività aziendale.</w:t>
      </w:r>
    </w:p>
    <w:p w14:paraId="78DF3DD3" w14:textId="31D3A4ED" w:rsidR="00603F3F" w:rsidRDefault="00603F3F" w:rsidP="00603F3F">
      <w:pPr>
        <w:pStyle w:val="Paragrafoelenco"/>
        <w:widowControl w:val="0"/>
        <w:spacing w:after="0" w:line="276" w:lineRule="auto"/>
        <w:ind w:left="0"/>
        <w:contextualSpacing w:val="0"/>
        <w:jc w:val="both"/>
        <w:rPr>
          <w:rFonts w:ascii="Times New Roman" w:hAnsi="Times New Roman"/>
          <w:sz w:val="20"/>
          <w:szCs w:val="20"/>
          <w:lang w:eastAsia="it-IT"/>
        </w:rPr>
      </w:pPr>
    </w:p>
    <w:p w14:paraId="7881E30F" w14:textId="77777777" w:rsidR="00603F3F" w:rsidRPr="00826F41" w:rsidRDefault="00603F3F" w:rsidP="00603F3F">
      <w:pPr>
        <w:pStyle w:val="Titolo2"/>
        <w:keepNext w:val="0"/>
        <w:spacing w:line="276" w:lineRule="auto"/>
        <w:ind w:left="426" w:hanging="426"/>
        <w:rPr>
          <w:color w:val="0070C0"/>
        </w:rPr>
      </w:pPr>
      <w:bookmarkStart w:id="299" w:name="_Toc473547385"/>
      <w:bookmarkStart w:id="300" w:name="_Toc535854412"/>
      <w:bookmarkEnd w:id="292"/>
      <w:bookmarkEnd w:id="293"/>
      <w:r w:rsidRPr="00826F41">
        <w:rPr>
          <w:color w:val="0070C0"/>
        </w:rPr>
        <w:t>Il PTPCT - struttura e processo di elaborazione ed aggiornamento</w:t>
      </w:r>
      <w:bookmarkEnd w:id="299"/>
      <w:bookmarkEnd w:id="300"/>
    </w:p>
    <w:p w14:paraId="29F0AE09" w14:textId="77777777" w:rsidR="00603F3F" w:rsidRPr="0080666F" w:rsidRDefault="00603F3F" w:rsidP="003E3269">
      <w:pPr>
        <w:pStyle w:val="Titolo3"/>
        <w:keepNext w:val="0"/>
        <w:widowControl w:val="0"/>
        <w:numPr>
          <w:ilvl w:val="1"/>
          <w:numId w:val="31"/>
        </w:numPr>
        <w:spacing w:line="276" w:lineRule="auto"/>
        <w:ind w:left="426" w:hanging="426"/>
        <w:contextualSpacing w:val="0"/>
      </w:pPr>
      <w:bookmarkStart w:id="301" w:name="_Toc473547386"/>
      <w:bookmarkStart w:id="302" w:name="_Toc535854413"/>
      <w:r w:rsidRPr="0080666F">
        <w:t>Struttura del PTPCT</w:t>
      </w:r>
      <w:bookmarkEnd w:id="301"/>
      <w:bookmarkEnd w:id="302"/>
    </w:p>
    <w:p w14:paraId="11516537" w14:textId="28EA3F82"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Il PTPCT è stato articolato come di seguito riportato:</w:t>
      </w:r>
    </w:p>
    <w:p w14:paraId="7AA4AF91" w14:textId="77777777" w:rsidR="00603F3F" w:rsidRPr="00A10FBB" w:rsidRDefault="00603F3F" w:rsidP="00603F3F">
      <w:pPr>
        <w:widowControl w:val="0"/>
        <w:autoSpaceDE w:val="0"/>
        <w:autoSpaceDN w:val="0"/>
        <w:adjustRightInd w:val="0"/>
        <w:spacing w:after="0"/>
        <w:ind w:left="284" w:hanging="284"/>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A10FBB">
        <w:rPr>
          <w:rFonts w:ascii="Times New Roman" w:hAnsi="Times New Roman"/>
          <w:i/>
          <w:color w:val="000000"/>
          <w:sz w:val="20"/>
          <w:szCs w:val="20"/>
          <w:lang w:eastAsia="it-IT"/>
        </w:rPr>
        <w:t xml:space="preserve">indicazione del quadro normativo di riferimento; </w:t>
      </w:r>
    </w:p>
    <w:p w14:paraId="1AF03D8C" w14:textId="77777777" w:rsidR="00603F3F" w:rsidRPr="00A10FBB" w:rsidRDefault="00603F3F" w:rsidP="00603F3F">
      <w:pPr>
        <w:widowControl w:val="0"/>
        <w:autoSpaceDE w:val="0"/>
        <w:autoSpaceDN w:val="0"/>
        <w:adjustRightInd w:val="0"/>
        <w:spacing w:after="0"/>
        <w:ind w:left="284" w:hanging="284"/>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elenco delle ipotesi di reato prese in esame; </w:t>
      </w:r>
    </w:p>
    <w:p w14:paraId="0D75DEAE" w14:textId="77777777" w:rsidR="00603F3F" w:rsidRPr="00A10FBB" w:rsidRDefault="00603F3F" w:rsidP="00603F3F">
      <w:pPr>
        <w:widowControl w:val="0"/>
        <w:autoSpaceDE w:val="0"/>
        <w:autoSpaceDN w:val="0"/>
        <w:adjustRightInd w:val="0"/>
        <w:spacing w:after="0"/>
        <w:ind w:left="284" w:hanging="284"/>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descrizione della metodologia seguita per l’elaborazione del piano; </w:t>
      </w:r>
    </w:p>
    <w:p w14:paraId="7DEC833D" w14:textId="2A27AF11" w:rsidR="00603F3F" w:rsidRPr="00A10FBB" w:rsidRDefault="00603F3F" w:rsidP="008748AE">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individuazione delle misure di carattere generale valide per tutti i processi che caratterizzano l'attività della società; </w:t>
      </w:r>
    </w:p>
    <w:p w14:paraId="7573A6AE" w14:textId="77777777" w:rsidR="00603F3F" w:rsidRPr="00A10FBB" w:rsidRDefault="00603F3F" w:rsidP="008748AE">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w:t>
      </w:r>
      <w:r w:rsidRPr="00A10FBB">
        <w:rPr>
          <w:rFonts w:ascii="Times New Roman" w:hAnsi="Times New Roman"/>
          <w:i/>
          <w:color w:val="000000"/>
          <w:sz w:val="20"/>
          <w:szCs w:val="20"/>
          <w:lang w:eastAsia="it-IT"/>
        </w:rPr>
        <w:tab/>
        <w:t xml:space="preserve">esplicitazione dei compiti del Responsabile della prevenzione della corruzione e della trasparenza (di seguito anche denominato RPCT); </w:t>
      </w:r>
    </w:p>
    <w:p w14:paraId="70CE5439" w14:textId="77777777" w:rsidR="00603F3F" w:rsidRPr="00A10FBB" w:rsidRDefault="00603F3F" w:rsidP="00603F3F">
      <w:pPr>
        <w:widowControl w:val="0"/>
        <w:autoSpaceDE w:val="0"/>
        <w:autoSpaceDN w:val="0"/>
        <w:adjustRightInd w:val="0"/>
        <w:spacing w:after="0"/>
        <w:ind w:left="284" w:hanging="284"/>
        <w:rPr>
          <w:rFonts w:ascii="Times New Roman" w:hAnsi="Times New Roman"/>
          <w:i/>
          <w:sz w:val="20"/>
          <w:szCs w:val="20"/>
        </w:rPr>
      </w:pPr>
      <w:r w:rsidRPr="00A10FBB">
        <w:rPr>
          <w:rFonts w:ascii="Times New Roman" w:hAnsi="Times New Roman"/>
          <w:i/>
          <w:sz w:val="20"/>
          <w:szCs w:val="20"/>
        </w:rPr>
        <w:t>-</w:t>
      </w:r>
      <w:r w:rsidRPr="00A10FBB">
        <w:rPr>
          <w:rFonts w:ascii="Times New Roman" w:hAnsi="Times New Roman"/>
          <w:i/>
          <w:sz w:val="20"/>
          <w:szCs w:val="20"/>
        </w:rPr>
        <w:tab/>
        <w:t>analisi dei processi, dei sub processi e delle attività a rischio.</w:t>
      </w:r>
    </w:p>
    <w:p w14:paraId="36820804" w14:textId="77777777" w:rsidR="00603F3F" w:rsidRPr="00CD7FBE" w:rsidRDefault="00603F3F" w:rsidP="00603F3F">
      <w:pPr>
        <w:widowControl w:val="0"/>
        <w:autoSpaceDE w:val="0"/>
        <w:autoSpaceDN w:val="0"/>
        <w:adjustRightInd w:val="0"/>
        <w:spacing w:after="0"/>
        <w:rPr>
          <w:rFonts w:ascii="Times New Roman" w:hAnsi="Times New Roman"/>
          <w:color w:val="000000"/>
          <w:sz w:val="20"/>
          <w:szCs w:val="20"/>
          <w:lang w:eastAsia="it-IT"/>
        </w:rPr>
      </w:pPr>
    </w:p>
    <w:p w14:paraId="357A5E4A" w14:textId="77777777" w:rsidR="00603F3F" w:rsidRPr="0080666F" w:rsidRDefault="00603F3F" w:rsidP="003E3269">
      <w:pPr>
        <w:pStyle w:val="Titolo3"/>
        <w:keepNext w:val="0"/>
        <w:widowControl w:val="0"/>
        <w:numPr>
          <w:ilvl w:val="1"/>
          <w:numId w:val="31"/>
        </w:numPr>
        <w:spacing w:line="276" w:lineRule="auto"/>
        <w:ind w:left="426" w:hanging="426"/>
        <w:contextualSpacing w:val="0"/>
      </w:pPr>
      <w:bookmarkStart w:id="303" w:name="_Toc473547387"/>
      <w:bookmarkStart w:id="304" w:name="_Toc535854414"/>
      <w:r w:rsidRPr="0080666F">
        <w:t>Il processo di elaborazione</w:t>
      </w:r>
      <w:bookmarkEnd w:id="303"/>
      <w:bookmarkEnd w:id="304"/>
    </w:p>
    <w:p w14:paraId="6218D47B" w14:textId="24C2ED51"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eastAsia="SymbolMT" w:hAnsi="Times New Roman"/>
          <w:sz w:val="20"/>
          <w:szCs w:val="20"/>
        </w:rPr>
        <w:t>Il presente</w:t>
      </w:r>
      <w:r w:rsidRPr="00CD7FBE">
        <w:rPr>
          <w:rFonts w:ascii="Times New Roman" w:eastAsia="SymbolMT" w:hAnsi="Times New Roman"/>
          <w:b/>
          <w:sz w:val="20"/>
          <w:szCs w:val="20"/>
        </w:rPr>
        <w:t xml:space="preserve"> </w:t>
      </w:r>
      <w:r w:rsidRPr="00CD7FBE">
        <w:rPr>
          <w:rFonts w:ascii="Times New Roman" w:eastAsia="SymbolMT" w:hAnsi="Times New Roman"/>
          <w:sz w:val="20"/>
          <w:szCs w:val="20"/>
        </w:rPr>
        <w:t xml:space="preserve">Piano </w:t>
      </w:r>
      <w:r w:rsidRPr="00CD7FBE">
        <w:rPr>
          <w:rFonts w:ascii="Times New Roman" w:hAnsi="Times New Roman"/>
          <w:sz w:val="20"/>
          <w:szCs w:val="20"/>
        </w:rPr>
        <w:t>è stato predisposto nel rispetto della legge n. 190/2012 recante “</w:t>
      </w:r>
      <w:r w:rsidRPr="00CD7FBE">
        <w:rPr>
          <w:rFonts w:ascii="Times New Roman" w:hAnsi="Times New Roman"/>
          <w:i/>
          <w:sz w:val="20"/>
          <w:szCs w:val="20"/>
        </w:rPr>
        <w:t>Disposizioni per la prevenzione e la repressione della corruzione e dell’illegalità nella Pubblica Amministrazione</w:t>
      </w:r>
      <w:r w:rsidRPr="00CD7FBE">
        <w:rPr>
          <w:rFonts w:ascii="Times New Roman" w:hAnsi="Times New Roman"/>
          <w:sz w:val="20"/>
          <w:szCs w:val="20"/>
        </w:rPr>
        <w:t>” (</w:t>
      </w:r>
      <w:r w:rsidRPr="00EA53FC">
        <w:rPr>
          <w:rFonts w:ascii="Times New Roman" w:hAnsi="Times New Roman"/>
          <w:i/>
          <w:sz w:val="20"/>
          <w:szCs w:val="20"/>
        </w:rPr>
        <w:t>di seguito anche legge n. 190/2012</w:t>
      </w:r>
      <w:r w:rsidRPr="00CD7FBE">
        <w:rPr>
          <w:rFonts w:ascii="Times New Roman" w:hAnsi="Times New Roman"/>
          <w:sz w:val="20"/>
          <w:szCs w:val="20"/>
        </w:rPr>
        <w:t>) e dei decreti legislativi n. 33/2013 e n. 39/2013 e del D.P.R. n. 62/2013.</w:t>
      </w:r>
      <w:r>
        <w:rPr>
          <w:rFonts w:ascii="Times New Roman" w:hAnsi="Times New Roman"/>
          <w:sz w:val="20"/>
          <w:szCs w:val="20"/>
        </w:rPr>
        <w:t xml:space="preserve"> </w:t>
      </w:r>
      <w:r w:rsidRPr="00CD7FBE">
        <w:rPr>
          <w:rFonts w:ascii="Times New Roman" w:hAnsi="Times New Roman"/>
          <w:color w:val="000000"/>
          <w:sz w:val="20"/>
          <w:szCs w:val="20"/>
          <w:lang w:eastAsia="it-IT"/>
        </w:rPr>
        <w:t>L’iter seguito nella predisposizione del piano ha previsto quattro macro-fasi: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pianificazione; analisi dei rischi di corruzione; progettazione del sistema di trattamento del rischio; stesura del Piano Triennale di Prevenzione della Corruzione. </w:t>
      </w:r>
    </w:p>
    <w:p w14:paraId="6D9C5E81" w14:textId="77777777" w:rsidR="00603F3F" w:rsidRDefault="00603F3F" w:rsidP="00603F3F">
      <w:pPr>
        <w:widowControl w:val="0"/>
        <w:autoSpaceDE w:val="0"/>
        <w:autoSpaceDN w:val="0"/>
        <w:adjustRightInd w:val="0"/>
        <w:spacing w:after="0"/>
        <w:rPr>
          <w:rFonts w:ascii="Times New Roman" w:hAnsi="Times New Roman"/>
          <w:color w:val="000000"/>
          <w:sz w:val="20"/>
          <w:szCs w:val="20"/>
          <w:lang w:eastAsia="it-IT"/>
        </w:rPr>
      </w:pPr>
    </w:p>
    <w:p w14:paraId="22E26351" w14:textId="1E0610AE"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0D74DB">
        <w:rPr>
          <w:rFonts w:ascii="Times New Roman" w:hAnsi="Times New Roman"/>
          <w:sz w:val="20"/>
          <w:szCs w:val="20"/>
          <w:lang w:eastAsia="it-IT"/>
        </w:rPr>
        <w:t xml:space="preserve">In data </w:t>
      </w:r>
      <w:r w:rsidR="000D74DB" w:rsidRPr="000D74DB">
        <w:rPr>
          <w:rFonts w:ascii="Times New Roman" w:hAnsi="Times New Roman"/>
          <w:sz w:val="20"/>
          <w:szCs w:val="20"/>
          <w:lang w:eastAsia="it-IT"/>
        </w:rPr>
        <w:t xml:space="preserve">1 ottobre 2018 </w:t>
      </w:r>
      <w:r w:rsidR="00EA53FC" w:rsidRPr="000D74DB">
        <w:rPr>
          <w:rFonts w:ascii="Times New Roman" w:hAnsi="Times New Roman"/>
          <w:sz w:val="20"/>
          <w:szCs w:val="20"/>
          <w:lang w:eastAsia="it-IT"/>
        </w:rPr>
        <w:t>l’Amministratore Unico</w:t>
      </w:r>
      <w:r w:rsidR="00EA53FC" w:rsidRPr="000D74DB">
        <w:rPr>
          <w:rFonts w:ascii="Times New Roman" w:hAnsi="Times New Roman"/>
          <w:color w:val="000000"/>
          <w:sz w:val="20"/>
          <w:szCs w:val="20"/>
          <w:lang w:eastAsia="it-IT"/>
        </w:rPr>
        <w:t xml:space="preserve"> </w:t>
      </w:r>
      <w:r w:rsidRPr="000D74DB">
        <w:rPr>
          <w:rFonts w:ascii="Times New Roman" w:hAnsi="Times New Roman"/>
          <w:color w:val="000000"/>
          <w:sz w:val="20"/>
          <w:szCs w:val="20"/>
          <w:lang w:eastAsia="it-IT"/>
        </w:rPr>
        <w:t>ha attrib</w:t>
      </w:r>
      <w:r w:rsidRPr="00CD7FBE">
        <w:rPr>
          <w:rFonts w:ascii="Times New Roman" w:hAnsi="Times New Roman"/>
          <w:color w:val="000000"/>
          <w:sz w:val="20"/>
          <w:szCs w:val="20"/>
          <w:lang w:eastAsia="it-IT"/>
        </w:rPr>
        <w:t>uito gli obiettivi strategici in materia di prevenzione della corruzione e trasparenza riportati nelle premesse del presente Piano.</w:t>
      </w:r>
    </w:p>
    <w:p w14:paraId="6208D5FE" w14:textId="77777777" w:rsidR="00603F3F" w:rsidRPr="00CD7FBE" w:rsidRDefault="00603F3F" w:rsidP="00603F3F">
      <w:pPr>
        <w:widowControl w:val="0"/>
        <w:spacing w:after="0"/>
        <w:rPr>
          <w:rFonts w:ascii="Times New Roman" w:hAnsi="Times New Roman"/>
          <w:sz w:val="20"/>
          <w:szCs w:val="20"/>
          <w:lang w:val="x-none"/>
        </w:rPr>
      </w:pPr>
    </w:p>
    <w:p w14:paraId="08065AA0" w14:textId="2D3D3718"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Ai fini della predisposizione del presente Piano sono state coinvolte, secondo le diverse competenze, attori interni ed esterni alla </w:t>
      </w:r>
      <w:r>
        <w:rPr>
          <w:rFonts w:ascii="Times New Roman" w:hAnsi="Times New Roman" w:cs="Times New Roman"/>
          <w:sz w:val="20"/>
          <w:szCs w:val="20"/>
        </w:rPr>
        <w:t>società</w:t>
      </w:r>
      <w:r w:rsidRPr="00CD7FBE">
        <w:rPr>
          <w:rFonts w:ascii="Times New Roman" w:hAnsi="Times New Roman" w:cs="Times New Roman"/>
          <w:sz w:val="20"/>
          <w:szCs w:val="20"/>
        </w:rPr>
        <w:t>.</w:t>
      </w:r>
      <w:r w:rsidRPr="00CD7FBE" w:rsidDel="00673F32">
        <w:rPr>
          <w:rFonts w:ascii="Times New Roman" w:hAnsi="Times New Roman" w:cs="Times New Roman"/>
          <w:sz w:val="20"/>
          <w:szCs w:val="20"/>
        </w:rPr>
        <w:t xml:space="preserve"> </w:t>
      </w:r>
    </w:p>
    <w:p w14:paraId="76CF6E6F" w14:textId="77777777" w:rsidR="00603F3F" w:rsidRPr="00CD7FBE" w:rsidRDefault="00603F3F" w:rsidP="00603F3F">
      <w:pPr>
        <w:widowControl w:val="0"/>
        <w:spacing w:after="0"/>
        <w:jc w:val="both"/>
        <w:rPr>
          <w:rFonts w:ascii="Times New Roman" w:hAnsi="Times New Roman"/>
          <w:sz w:val="20"/>
          <w:szCs w:val="20"/>
        </w:rPr>
      </w:pPr>
    </w:p>
    <w:p w14:paraId="0ECC8F04" w14:textId="4A7E9082" w:rsidR="00603F3F" w:rsidRPr="00CD7FBE" w:rsidRDefault="00603F3F" w:rsidP="00603F3F">
      <w:pPr>
        <w:widowControl w:val="0"/>
        <w:spacing w:after="0"/>
        <w:jc w:val="both"/>
        <w:rPr>
          <w:rFonts w:ascii="Times New Roman" w:hAnsi="Times New Roman"/>
          <w:sz w:val="20"/>
          <w:szCs w:val="20"/>
        </w:rPr>
      </w:pPr>
      <w:r w:rsidRPr="000D74DB">
        <w:rPr>
          <w:rFonts w:ascii="Times New Roman" w:hAnsi="Times New Roman"/>
          <w:sz w:val="20"/>
          <w:szCs w:val="20"/>
        </w:rPr>
        <w:t>Dell’approvazione del presente Piano è stata preventivamente informata l’Amministrazione vigilante nella persona del dott.</w:t>
      </w:r>
      <w:r w:rsidR="000F2E67">
        <w:rPr>
          <w:rFonts w:ascii="Times New Roman" w:hAnsi="Times New Roman"/>
          <w:sz w:val="20"/>
          <w:szCs w:val="20"/>
        </w:rPr>
        <w:t>ssa</w:t>
      </w:r>
      <w:r w:rsidRPr="000D74DB">
        <w:rPr>
          <w:rFonts w:ascii="Times New Roman" w:hAnsi="Times New Roman"/>
          <w:sz w:val="20"/>
          <w:szCs w:val="20"/>
        </w:rPr>
        <w:t xml:space="preserve"> </w:t>
      </w:r>
      <w:r w:rsidR="000D74DB" w:rsidRPr="000D74DB">
        <w:rPr>
          <w:rFonts w:ascii="Times New Roman" w:hAnsi="Times New Roman"/>
          <w:sz w:val="20"/>
          <w:szCs w:val="20"/>
        </w:rPr>
        <w:t>Ludovica Iarussi,</w:t>
      </w:r>
      <w:r w:rsidRPr="000D74DB">
        <w:rPr>
          <w:rFonts w:ascii="Times New Roman" w:hAnsi="Times New Roman"/>
          <w:sz w:val="20"/>
          <w:szCs w:val="20"/>
        </w:rPr>
        <w:t xml:space="preserve"> Responsabile della Prevenzione della Corruzione e per la Trasparenza </w:t>
      </w:r>
      <w:r w:rsidR="00DF0FF8" w:rsidRPr="000D74DB">
        <w:rPr>
          <w:rFonts w:ascii="Times New Roman" w:hAnsi="Times New Roman"/>
          <w:sz w:val="20"/>
          <w:szCs w:val="20"/>
        </w:rPr>
        <w:t>del Comune di Marino</w:t>
      </w:r>
      <w:r w:rsidRPr="000D74DB">
        <w:rPr>
          <w:rFonts w:ascii="Times New Roman" w:hAnsi="Times New Roman"/>
          <w:sz w:val="20"/>
          <w:szCs w:val="20"/>
        </w:rPr>
        <w:t>.</w:t>
      </w:r>
      <w:r w:rsidRPr="00CD7FBE">
        <w:rPr>
          <w:rFonts w:ascii="Times New Roman" w:hAnsi="Times New Roman"/>
          <w:sz w:val="20"/>
          <w:szCs w:val="20"/>
        </w:rPr>
        <w:t xml:space="preserve"> </w:t>
      </w:r>
    </w:p>
    <w:p w14:paraId="58973523" w14:textId="77777777" w:rsidR="00603F3F" w:rsidRPr="00CD7FBE" w:rsidRDefault="00603F3F" w:rsidP="00603F3F">
      <w:pPr>
        <w:widowControl w:val="0"/>
        <w:spacing w:after="0"/>
        <w:jc w:val="both"/>
        <w:rPr>
          <w:rFonts w:ascii="Times New Roman" w:hAnsi="Times New Roman"/>
          <w:sz w:val="20"/>
          <w:szCs w:val="20"/>
        </w:rPr>
      </w:pPr>
    </w:p>
    <w:p w14:paraId="3BDE71C2" w14:textId="39584B12"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In considerazione del fatto che i dipendenti </w:t>
      </w:r>
      <w:r>
        <w:rPr>
          <w:rFonts w:ascii="Times New Roman" w:hAnsi="Times New Roman"/>
          <w:sz w:val="20"/>
          <w:szCs w:val="20"/>
        </w:rPr>
        <w:t>della società</w:t>
      </w:r>
      <w:r w:rsidRPr="00CD7FBE">
        <w:rPr>
          <w:rFonts w:ascii="Times New Roman" w:hAnsi="Times New Roman"/>
          <w:sz w:val="20"/>
          <w:szCs w:val="20"/>
        </w:rPr>
        <w:t xml:space="preserve"> in servizio presso le sedi </w:t>
      </w:r>
      <w:r w:rsidR="00DF0FF8">
        <w:rPr>
          <w:rFonts w:ascii="Times New Roman" w:hAnsi="Times New Roman"/>
          <w:sz w:val="20"/>
          <w:szCs w:val="20"/>
        </w:rPr>
        <w:t xml:space="preserve">del Comune di Marino </w:t>
      </w:r>
      <w:r w:rsidRPr="00CD7FBE">
        <w:rPr>
          <w:rFonts w:ascii="Times New Roman" w:hAnsi="Times New Roman"/>
          <w:sz w:val="20"/>
          <w:szCs w:val="20"/>
        </w:rPr>
        <w:t xml:space="preserve">e/o operativi su attività e servizi connessi alle funzioni amministrative </w:t>
      </w:r>
      <w:r w:rsidR="00DF0FF8">
        <w:rPr>
          <w:rFonts w:ascii="Times New Roman" w:hAnsi="Times New Roman"/>
          <w:sz w:val="20"/>
          <w:szCs w:val="20"/>
        </w:rPr>
        <w:t>del Comune stesso</w:t>
      </w:r>
      <w:r w:rsidRPr="00CD7FBE">
        <w:rPr>
          <w:rFonts w:ascii="Times New Roman" w:hAnsi="Times New Roman"/>
          <w:sz w:val="20"/>
          <w:szCs w:val="20"/>
        </w:rPr>
        <w:t xml:space="preserve"> sono obbligati ad osservare le prescrizioni previste </w:t>
      </w:r>
      <w:r w:rsidRPr="0084697D">
        <w:rPr>
          <w:rFonts w:ascii="Times New Roman" w:hAnsi="Times New Roman"/>
          <w:sz w:val="20"/>
          <w:szCs w:val="20"/>
        </w:rPr>
        <w:t xml:space="preserve">nei Piano Triennale per la Prevenzione della Corruzione e del Codice di Comportamento adottati </w:t>
      </w:r>
      <w:r w:rsidR="00DF0FF8" w:rsidRPr="0084697D">
        <w:rPr>
          <w:rFonts w:ascii="Times New Roman" w:hAnsi="Times New Roman"/>
          <w:sz w:val="20"/>
          <w:szCs w:val="20"/>
        </w:rPr>
        <w:t>dal Comune di Marino</w:t>
      </w:r>
      <w:r w:rsidRPr="0084697D">
        <w:rPr>
          <w:rFonts w:ascii="Times New Roman" w:hAnsi="Times New Roman"/>
          <w:sz w:val="20"/>
          <w:szCs w:val="20"/>
        </w:rPr>
        <w:t xml:space="preserve">, sono stati preventivamente informati i rispettivi Responsabili, al fine di coordinare con gli stessi le misure tese alla prevenzione dei fenomeni corruttivi da applicare ai suddetti dipendenti, e di concordare con la disposizione ivi contenuta che prevede che i dipendenti della società. in servizio presso </w:t>
      </w:r>
      <w:r w:rsidR="00DF0FF8" w:rsidRPr="0084697D">
        <w:rPr>
          <w:rFonts w:ascii="Times New Roman" w:hAnsi="Times New Roman"/>
          <w:sz w:val="20"/>
          <w:szCs w:val="20"/>
        </w:rPr>
        <w:t>il Comune di Marino</w:t>
      </w:r>
      <w:r w:rsidRPr="0084697D">
        <w:rPr>
          <w:rFonts w:ascii="Times New Roman" w:hAnsi="Times New Roman"/>
          <w:sz w:val="20"/>
          <w:szCs w:val="20"/>
        </w:rPr>
        <w:t xml:space="preserve"> siano tenuti a conformare la propria condotta a quanto stabilito dal PTPCT e dal Codice di comportamento in vigore presso </w:t>
      </w:r>
      <w:r w:rsidR="00DF0FF8" w:rsidRPr="0084697D">
        <w:rPr>
          <w:rFonts w:ascii="Times New Roman" w:hAnsi="Times New Roman"/>
          <w:sz w:val="20"/>
          <w:szCs w:val="20"/>
        </w:rPr>
        <w:t xml:space="preserve">il Comune di Marino </w:t>
      </w:r>
      <w:r w:rsidRPr="0084697D">
        <w:rPr>
          <w:rFonts w:ascii="Times New Roman" w:hAnsi="Times New Roman"/>
          <w:sz w:val="20"/>
          <w:szCs w:val="20"/>
        </w:rPr>
        <w:t>e che analoga previsione è contenuta nel Codice di comportamento delle rispettive amministrazioni.</w:t>
      </w:r>
      <w:r w:rsidRPr="00CD7FBE">
        <w:rPr>
          <w:rFonts w:ascii="Times New Roman" w:hAnsi="Times New Roman"/>
          <w:sz w:val="20"/>
          <w:szCs w:val="20"/>
        </w:rPr>
        <w:t xml:space="preserve"> </w:t>
      </w:r>
    </w:p>
    <w:p w14:paraId="5FBEE47C" w14:textId="77777777" w:rsidR="00603F3F" w:rsidRPr="00CD7FBE" w:rsidRDefault="00603F3F" w:rsidP="00603F3F">
      <w:pPr>
        <w:widowControl w:val="0"/>
        <w:spacing w:after="0"/>
        <w:jc w:val="both"/>
        <w:rPr>
          <w:rFonts w:ascii="Times New Roman" w:hAnsi="Times New Roman"/>
          <w:sz w:val="20"/>
          <w:szCs w:val="20"/>
        </w:rPr>
      </w:pPr>
    </w:p>
    <w:p w14:paraId="27419901" w14:textId="1AB7EF9D" w:rsidR="00603F3F" w:rsidRDefault="00603F3F" w:rsidP="006E65F7">
      <w:pPr>
        <w:widowControl w:val="0"/>
        <w:spacing w:after="0"/>
        <w:jc w:val="both"/>
        <w:rPr>
          <w:rFonts w:ascii="Times New Roman" w:hAnsi="Times New Roman"/>
          <w:i/>
          <w:sz w:val="20"/>
          <w:szCs w:val="20"/>
        </w:rPr>
      </w:pPr>
      <w:r w:rsidRPr="00CD7FBE">
        <w:rPr>
          <w:rFonts w:ascii="Times New Roman" w:hAnsi="Times New Roman"/>
          <w:sz w:val="20"/>
          <w:szCs w:val="20"/>
        </w:rPr>
        <w:t xml:space="preserve">Si è provveduto, altresì, a coinvolgere tutte le strutture aziendali </w:t>
      </w:r>
      <w:r w:rsidR="008F2DDC">
        <w:rPr>
          <w:rFonts w:ascii="Times New Roman" w:hAnsi="Times New Roman"/>
          <w:sz w:val="20"/>
          <w:szCs w:val="20"/>
        </w:rPr>
        <w:t xml:space="preserve">che sono state informate </w:t>
      </w:r>
      <w:r>
        <w:rPr>
          <w:rFonts w:ascii="Times New Roman" w:hAnsi="Times New Roman"/>
          <w:sz w:val="20"/>
          <w:szCs w:val="20"/>
        </w:rPr>
        <w:t>che “</w:t>
      </w:r>
      <w:r w:rsidR="006E65F7">
        <w:rPr>
          <w:rFonts w:ascii="Times New Roman" w:hAnsi="Times New Roman"/>
          <w:i/>
          <w:sz w:val="20"/>
          <w:szCs w:val="20"/>
        </w:rPr>
        <w:t xml:space="preserve">l’Amministratore Unico in data </w:t>
      </w:r>
      <w:r w:rsidR="000D74DB">
        <w:rPr>
          <w:rFonts w:ascii="Times New Roman" w:hAnsi="Times New Roman"/>
          <w:i/>
          <w:sz w:val="20"/>
          <w:szCs w:val="20"/>
        </w:rPr>
        <w:t xml:space="preserve">1 ottobre 2018 </w:t>
      </w:r>
      <w:r w:rsidRPr="0022508D">
        <w:rPr>
          <w:rFonts w:ascii="Times New Roman" w:hAnsi="Times New Roman"/>
          <w:i/>
          <w:sz w:val="20"/>
          <w:szCs w:val="20"/>
        </w:rPr>
        <w:t>u.s. ha deliberato gli obiettivi strategici in materia di prevenzione della corruzione e trasparenza che costituiscono contenuto necessario dei documenti di programmazione strategico-gestionale e del Piano triennale per la prevenzione della corruzione nel periodo 201</w:t>
      </w:r>
      <w:r>
        <w:rPr>
          <w:rFonts w:ascii="Times New Roman" w:hAnsi="Times New Roman"/>
          <w:i/>
          <w:sz w:val="20"/>
          <w:szCs w:val="20"/>
        </w:rPr>
        <w:t>9</w:t>
      </w:r>
      <w:r w:rsidRPr="0022508D">
        <w:rPr>
          <w:rFonts w:ascii="Times New Roman" w:hAnsi="Times New Roman"/>
          <w:i/>
          <w:sz w:val="20"/>
          <w:szCs w:val="20"/>
        </w:rPr>
        <w:t>/20</w:t>
      </w:r>
      <w:r>
        <w:rPr>
          <w:rFonts w:ascii="Times New Roman" w:hAnsi="Times New Roman"/>
          <w:i/>
          <w:sz w:val="20"/>
          <w:szCs w:val="20"/>
        </w:rPr>
        <w:t>21</w:t>
      </w:r>
      <w:r w:rsidRPr="0022508D">
        <w:rPr>
          <w:rFonts w:ascii="Times New Roman" w:hAnsi="Times New Roman"/>
          <w:i/>
          <w:sz w:val="20"/>
          <w:szCs w:val="20"/>
        </w:rPr>
        <w:t>.</w:t>
      </w:r>
      <w:r>
        <w:rPr>
          <w:rFonts w:ascii="Times New Roman" w:hAnsi="Times New Roman"/>
          <w:i/>
          <w:sz w:val="20"/>
          <w:szCs w:val="20"/>
        </w:rPr>
        <w:t xml:space="preserve"> </w:t>
      </w:r>
    </w:p>
    <w:p w14:paraId="068C5938" w14:textId="5EA80D2D" w:rsidR="00603F3F" w:rsidRDefault="00603F3F" w:rsidP="00603F3F">
      <w:pPr>
        <w:widowControl w:val="0"/>
        <w:spacing w:after="0"/>
        <w:jc w:val="both"/>
        <w:rPr>
          <w:rFonts w:ascii="Times New Roman" w:hAnsi="Times New Roman"/>
          <w:i/>
          <w:sz w:val="20"/>
          <w:szCs w:val="20"/>
        </w:rPr>
      </w:pPr>
    </w:p>
    <w:p w14:paraId="53A2E86F" w14:textId="1167B44F" w:rsidR="00603F3F" w:rsidRDefault="008F2DDC" w:rsidP="00603F3F">
      <w:pPr>
        <w:widowControl w:val="0"/>
        <w:spacing w:after="0"/>
        <w:jc w:val="both"/>
        <w:rPr>
          <w:rFonts w:ascii="Times New Roman" w:hAnsi="Times New Roman"/>
          <w:sz w:val="20"/>
          <w:szCs w:val="20"/>
        </w:rPr>
      </w:pPr>
      <w:r>
        <w:rPr>
          <w:rFonts w:ascii="Times New Roman" w:hAnsi="Times New Roman"/>
          <w:sz w:val="20"/>
          <w:szCs w:val="20"/>
        </w:rPr>
        <w:t xml:space="preserve">In risposta alle comunicazioni precedenti </w:t>
      </w:r>
      <w:r w:rsidR="006E65F7">
        <w:rPr>
          <w:rFonts w:ascii="Times New Roman" w:hAnsi="Times New Roman"/>
          <w:sz w:val="20"/>
          <w:szCs w:val="20"/>
        </w:rPr>
        <w:t>non sono pervenute osservazioni</w:t>
      </w:r>
      <w:r w:rsidR="007F1E29">
        <w:rPr>
          <w:rFonts w:ascii="Times New Roman" w:hAnsi="Times New Roman"/>
          <w:sz w:val="20"/>
          <w:szCs w:val="20"/>
        </w:rPr>
        <w:t>.</w:t>
      </w:r>
    </w:p>
    <w:p w14:paraId="44CD8234" w14:textId="77777777" w:rsidR="007F1E29" w:rsidRDefault="007F1E29" w:rsidP="00603F3F">
      <w:pPr>
        <w:widowControl w:val="0"/>
        <w:spacing w:after="0"/>
        <w:jc w:val="both"/>
        <w:rPr>
          <w:rFonts w:ascii="Times New Roman" w:hAnsi="Times New Roman"/>
          <w:sz w:val="20"/>
          <w:szCs w:val="20"/>
        </w:rPr>
      </w:pPr>
    </w:p>
    <w:p w14:paraId="45F4C85A" w14:textId="7D6DCD04" w:rsidR="00603F3F" w:rsidRDefault="00603F3F" w:rsidP="00603F3F">
      <w:pPr>
        <w:widowControl w:val="0"/>
        <w:spacing w:after="0"/>
        <w:jc w:val="both"/>
        <w:rPr>
          <w:rFonts w:ascii="Times New Roman" w:hAnsi="Times New Roman"/>
          <w:sz w:val="20"/>
          <w:szCs w:val="20"/>
        </w:rPr>
      </w:pPr>
      <w:r w:rsidRPr="004423D6">
        <w:rPr>
          <w:rFonts w:ascii="Times New Roman" w:hAnsi="Times New Roman"/>
          <w:sz w:val="20"/>
          <w:szCs w:val="20"/>
        </w:rPr>
        <w:t>L'</w:t>
      </w:r>
      <w:r w:rsidR="00583E7B" w:rsidRPr="004423D6">
        <w:rPr>
          <w:rFonts w:ascii="Times New Roman" w:hAnsi="Times New Roman"/>
          <w:sz w:val="20"/>
          <w:szCs w:val="20"/>
        </w:rPr>
        <w:t>Amministratore Unico</w:t>
      </w:r>
      <w:r w:rsidR="00583E7B" w:rsidRPr="004423D6">
        <w:rPr>
          <w:rFonts w:ascii="Times New Roman" w:hAnsi="Times New Roman"/>
          <w:b/>
          <w:sz w:val="20"/>
          <w:szCs w:val="20"/>
        </w:rPr>
        <w:t xml:space="preserve"> </w:t>
      </w:r>
      <w:r w:rsidRPr="004423D6">
        <w:rPr>
          <w:rFonts w:ascii="Times New Roman" w:hAnsi="Times New Roman"/>
          <w:sz w:val="20"/>
          <w:szCs w:val="20"/>
        </w:rPr>
        <w:t xml:space="preserve">nella seduta del </w:t>
      </w:r>
      <w:r w:rsidR="000320B5" w:rsidRPr="004423D6">
        <w:rPr>
          <w:rFonts w:ascii="Times New Roman" w:hAnsi="Times New Roman"/>
          <w:b/>
          <w:sz w:val="20"/>
          <w:szCs w:val="20"/>
        </w:rPr>
        <w:t>31 gennaio 2019</w:t>
      </w:r>
      <w:r w:rsidRPr="004423D6">
        <w:rPr>
          <w:rFonts w:ascii="Times New Roman" w:hAnsi="Times New Roman"/>
          <w:sz w:val="20"/>
          <w:szCs w:val="20"/>
        </w:rPr>
        <w:t xml:space="preserve"> ha deliberato l</w:t>
      </w:r>
      <w:r w:rsidR="000320B5" w:rsidRPr="004423D6">
        <w:rPr>
          <w:rFonts w:ascii="Times New Roman" w:hAnsi="Times New Roman"/>
          <w:sz w:val="20"/>
          <w:szCs w:val="20"/>
        </w:rPr>
        <w:t xml:space="preserve">’approvazione del </w:t>
      </w:r>
      <w:r w:rsidRPr="004423D6">
        <w:rPr>
          <w:rFonts w:ascii="Times New Roman" w:hAnsi="Times New Roman"/>
          <w:b/>
          <w:sz w:val="20"/>
          <w:szCs w:val="20"/>
        </w:rPr>
        <w:t xml:space="preserve">PTPCT 2019 </w:t>
      </w:r>
      <w:r w:rsidR="00A10BBA" w:rsidRPr="004423D6">
        <w:rPr>
          <w:rFonts w:ascii="Times New Roman" w:hAnsi="Times New Roman"/>
          <w:b/>
          <w:sz w:val="20"/>
          <w:szCs w:val="20"/>
        </w:rPr>
        <w:t>-</w:t>
      </w:r>
      <w:r w:rsidRPr="004423D6">
        <w:rPr>
          <w:rFonts w:ascii="Times New Roman" w:hAnsi="Times New Roman"/>
          <w:b/>
          <w:sz w:val="20"/>
          <w:szCs w:val="20"/>
        </w:rPr>
        <w:t xml:space="preserve"> 2021</w:t>
      </w:r>
      <w:r w:rsidR="000320B5" w:rsidRPr="004423D6">
        <w:rPr>
          <w:rFonts w:ascii="Times New Roman" w:hAnsi="Times New Roman"/>
          <w:sz w:val="20"/>
          <w:szCs w:val="20"/>
        </w:rPr>
        <w:t xml:space="preserve"> e la relativa pubblicazione </w:t>
      </w:r>
      <w:r w:rsidRPr="004423D6">
        <w:rPr>
          <w:rFonts w:ascii="Times New Roman" w:hAnsi="Times New Roman"/>
          <w:sz w:val="20"/>
          <w:szCs w:val="20"/>
        </w:rPr>
        <w:t xml:space="preserve">sul sito istituzionale </w:t>
      </w:r>
      <w:r w:rsidR="00E0055C" w:rsidRPr="004423D6">
        <w:rPr>
          <w:rFonts w:ascii="Times New Roman" w:hAnsi="Times New Roman"/>
          <w:sz w:val="20"/>
          <w:szCs w:val="20"/>
        </w:rPr>
        <w:t>amministrazione trasparente</w:t>
      </w:r>
    </w:p>
    <w:p w14:paraId="785F03BE" w14:textId="77777777" w:rsidR="00E0055C" w:rsidRPr="009720F3" w:rsidRDefault="00E0055C" w:rsidP="00603F3F">
      <w:pPr>
        <w:widowControl w:val="0"/>
        <w:spacing w:after="0"/>
        <w:jc w:val="both"/>
        <w:rPr>
          <w:rFonts w:ascii="Times New Roman" w:hAnsi="Times New Roman"/>
          <w:sz w:val="20"/>
          <w:szCs w:val="20"/>
        </w:rPr>
      </w:pPr>
    </w:p>
    <w:p w14:paraId="0B3D4FFD" w14:textId="3216028B" w:rsidR="00603F3F" w:rsidRPr="009720F3" w:rsidRDefault="00603F3F" w:rsidP="00603F3F">
      <w:pPr>
        <w:widowControl w:val="0"/>
        <w:spacing w:after="0"/>
        <w:jc w:val="both"/>
        <w:rPr>
          <w:rFonts w:ascii="Times New Roman" w:hAnsi="Times New Roman"/>
          <w:sz w:val="20"/>
          <w:szCs w:val="20"/>
        </w:rPr>
      </w:pPr>
      <w:r w:rsidRPr="009720F3">
        <w:rPr>
          <w:rFonts w:ascii="Times New Roman" w:hAnsi="Times New Roman"/>
          <w:sz w:val="20"/>
          <w:szCs w:val="20"/>
        </w:rPr>
        <w:t>L’Organismo di Vigilanza, al quale è stata sottoposta la proposta di PTPCT ha espresso il proprio parere favorevole.</w:t>
      </w:r>
      <w:r>
        <w:rPr>
          <w:rFonts w:ascii="Times New Roman" w:hAnsi="Times New Roman"/>
          <w:sz w:val="20"/>
          <w:szCs w:val="20"/>
        </w:rPr>
        <w:t xml:space="preserve"> </w:t>
      </w:r>
      <w:r w:rsidRPr="009720F3">
        <w:rPr>
          <w:rFonts w:ascii="Times New Roman" w:hAnsi="Times New Roman"/>
          <w:sz w:val="20"/>
          <w:szCs w:val="20"/>
        </w:rPr>
        <w:t xml:space="preserve">Dell’approvazione del Piano è stato preventivamente </w:t>
      </w:r>
      <w:r w:rsidR="00E0055C">
        <w:rPr>
          <w:rFonts w:ascii="Times New Roman" w:hAnsi="Times New Roman"/>
          <w:sz w:val="20"/>
          <w:szCs w:val="20"/>
        </w:rPr>
        <w:t>informato il Collegio Sindacale ed il Revisore Contabile.</w:t>
      </w:r>
    </w:p>
    <w:p w14:paraId="4A324FF0" w14:textId="77777777" w:rsidR="00603F3F" w:rsidRPr="00CD7FBE" w:rsidRDefault="00603F3F" w:rsidP="00603F3F">
      <w:pPr>
        <w:widowControl w:val="0"/>
        <w:spacing w:after="0"/>
        <w:jc w:val="both"/>
        <w:rPr>
          <w:rFonts w:ascii="Times New Roman" w:hAnsi="Times New Roman"/>
          <w:sz w:val="20"/>
          <w:szCs w:val="20"/>
          <w:highlight w:val="yellow"/>
        </w:rPr>
      </w:pPr>
    </w:p>
    <w:p w14:paraId="0731786B" w14:textId="77777777" w:rsidR="00603F3F" w:rsidRPr="0080666F" w:rsidRDefault="00603F3F" w:rsidP="003E3269">
      <w:pPr>
        <w:pStyle w:val="Titolo3"/>
        <w:keepNext w:val="0"/>
        <w:widowControl w:val="0"/>
        <w:numPr>
          <w:ilvl w:val="1"/>
          <w:numId w:val="31"/>
        </w:numPr>
        <w:spacing w:line="276" w:lineRule="auto"/>
        <w:ind w:left="426" w:hanging="426"/>
        <w:contextualSpacing w:val="0"/>
      </w:pPr>
      <w:bookmarkStart w:id="305" w:name="_Toc473547388"/>
      <w:bookmarkStart w:id="306" w:name="_Toc535854415"/>
      <w:r w:rsidRPr="0080666F">
        <w:t>La metodologia per la predisposizione del Piano</w:t>
      </w:r>
      <w:bookmarkEnd w:id="305"/>
      <w:bookmarkEnd w:id="306"/>
    </w:p>
    <w:p w14:paraId="0FE54643" w14:textId="2CF73F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w:t>
      </w:r>
      <w:r w:rsidRPr="00CD7FBE">
        <w:rPr>
          <w:rFonts w:ascii="Times New Roman" w:hAnsi="Times New Roman"/>
          <w:color w:val="000000"/>
          <w:sz w:val="20"/>
          <w:szCs w:val="20"/>
          <w:lang w:eastAsia="it-IT"/>
        </w:rPr>
        <w:t xml:space="preserve">a predisposizione del Piano si è articolata in quattro fasi: </w:t>
      </w:r>
    </w:p>
    <w:p w14:paraId="69C54451" w14:textId="667D4A24" w:rsidR="00603F3F" w:rsidRPr="00A10FBB" w:rsidRDefault="00603F3F" w:rsidP="003E3269">
      <w:pPr>
        <w:pStyle w:val="Paragrafoelenco"/>
        <w:widowControl w:val="0"/>
        <w:numPr>
          <w:ilvl w:val="0"/>
          <w:numId w:val="14"/>
        </w:numPr>
        <w:autoSpaceDE w:val="0"/>
        <w:autoSpaceDN w:val="0"/>
        <w:adjustRightInd w:val="0"/>
        <w:spacing w:after="0" w:line="276" w:lineRule="auto"/>
        <w:ind w:left="284" w:hanging="284"/>
        <w:contextualSpacing w:val="0"/>
        <w:jc w:val="both"/>
        <w:rPr>
          <w:rFonts w:ascii="Times New Roman" w:hAnsi="Times New Roman"/>
          <w:i/>
          <w:color w:val="000000"/>
          <w:sz w:val="20"/>
          <w:szCs w:val="20"/>
          <w:lang w:eastAsia="it-IT"/>
        </w:rPr>
      </w:pPr>
      <w:r w:rsidRPr="00A10FBB">
        <w:rPr>
          <w:rFonts w:ascii="Times New Roman" w:hAnsi="Times New Roman"/>
          <w:i/>
          <w:iCs/>
          <w:color w:val="000000"/>
          <w:sz w:val="20"/>
          <w:szCs w:val="20"/>
          <w:lang w:eastAsia="it-IT"/>
        </w:rPr>
        <w:t>pianificazione</w:t>
      </w:r>
      <w:r w:rsidRPr="00A10FBB">
        <w:rPr>
          <w:rFonts w:ascii="Times New Roman" w:hAnsi="Times New Roman"/>
          <w:i/>
          <w:color w:val="000000"/>
          <w:sz w:val="20"/>
          <w:szCs w:val="20"/>
          <w:lang w:eastAsia="it-IT"/>
        </w:rPr>
        <w:t xml:space="preserve">; </w:t>
      </w:r>
    </w:p>
    <w:p w14:paraId="4FDAB84F" w14:textId="1BABA64C" w:rsidR="00603F3F" w:rsidRPr="00A10FBB" w:rsidRDefault="00603F3F" w:rsidP="003E3269">
      <w:pPr>
        <w:pStyle w:val="Paragrafoelenco"/>
        <w:widowControl w:val="0"/>
        <w:numPr>
          <w:ilvl w:val="0"/>
          <w:numId w:val="14"/>
        </w:numPr>
        <w:autoSpaceDE w:val="0"/>
        <w:autoSpaceDN w:val="0"/>
        <w:adjustRightInd w:val="0"/>
        <w:spacing w:after="0" w:line="276" w:lineRule="auto"/>
        <w:ind w:left="284" w:hanging="284"/>
        <w:contextualSpacing w:val="0"/>
        <w:jc w:val="both"/>
        <w:rPr>
          <w:rFonts w:ascii="Times New Roman" w:hAnsi="Times New Roman"/>
          <w:i/>
          <w:iCs/>
          <w:color w:val="000000"/>
          <w:sz w:val="20"/>
          <w:szCs w:val="20"/>
          <w:lang w:eastAsia="it-IT"/>
        </w:rPr>
      </w:pPr>
      <w:r w:rsidRPr="00A10FBB">
        <w:rPr>
          <w:rFonts w:ascii="Times New Roman" w:hAnsi="Times New Roman"/>
          <w:i/>
          <w:iCs/>
          <w:color w:val="000000"/>
          <w:sz w:val="20"/>
          <w:szCs w:val="20"/>
          <w:lang w:eastAsia="it-IT"/>
        </w:rPr>
        <w:t xml:space="preserve">mappatura, analisi e valutazione del rischio dei processi; </w:t>
      </w:r>
    </w:p>
    <w:p w14:paraId="14DD8339" w14:textId="43DFF1BB" w:rsidR="00603F3F" w:rsidRPr="00A10FBB" w:rsidRDefault="00603F3F" w:rsidP="003E3269">
      <w:pPr>
        <w:pStyle w:val="Paragrafoelenco"/>
        <w:widowControl w:val="0"/>
        <w:numPr>
          <w:ilvl w:val="0"/>
          <w:numId w:val="14"/>
        </w:numPr>
        <w:autoSpaceDE w:val="0"/>
        <w:autoSpaceDN w:val="0"/>
        <w:adjustRightInd w:val="0"/>
        <w:spacing w:after="0" w:line="276" w:lineRule="auto"/>
        <w:ind w:left="284" w:hanging="284"/>
        <w:contextualSpacing w:val="0"/>
        <w:jc w:val="both"/>
        <w:rPr>
          <w:rFonts w:ascii="Times New Roman" w:hAnsi="Times New Roman"/>
          <w:i/>
          <w:color w:val="000000"/>
          <w:sz w:val="20"/>
          <w:szCs w:val="20"/>
          <w:lang w:eastAsia="it-IT"/>
        </w:rPr>
      </w:pPr>
      <w:r w:rsidRPr="00A10FBB">
        <w:rPr>
          <w:rFonts w:ascii="Times New Roman" w:hAnsi="Times New Roman"/>
          <w:i/>
          <w:iCs/>
          <w:color w:val="000000"/>
          <w:sz w:val="20"/>
          <w:szCs w:val="20"/>
          <w:lang w:eastAsia="it-IT"/>
        </w:rPr>
        <w:t>progettazione del sistema di trattamento del rischio</w:t>
      </w:r>
      <w:r w:rsidRPr="00A10FBB">
        <w:rPr>
          <w:rFonts w:ascii="Times New Roman" w:hAnsi="Times New Roman"/>
          <w:i/>
          <w:color w:val="000000"/>
          <w:sz w:val="20"/>
          <w:szCs w:val="20"/>
          <w:lang w:eastAsia="it-IT"/>
        </w:rPr>
        <w:t xml:space="preserve">; </w:t>
      </w:r>
    </w:p>
    <w:p w14:paraId="10FFD0FD" w14:textId="4587524D" w:rsidR="00603F3F" w:rsidRPr="00A10FBB" w:rsidRDefault="00603F3F" w:rsidP="003E3269">
      <w:pPr>
        <w:pStyle w:val="Paragrafoelenco"/>
        <w:widowControl w:val="0"/>
        <w:numPr>
          <w:ilvl w:val="0"/>
          <w:numId w:val="14"/>
        </w:numPr>
        <w:autoSpaceDE w:val="0"/>
        <w:autoSpaceDN w:val="0"/>
        <w:adjustRightInd w:val="0"/>
        <w:spacing w:after="0" w:line="276" w:lineRule="auto"/>
        <w:ind w:left="284" w:hanging="284"/>
        <w:contextualSpacing w:val="0"/>
        <w:jc w:val="both"/>
        <w:rPr>
          <w:rFonts w:ascii="Times New Roman" w:hAnsi="Times New Roman"/>
          <w:i/>
          <w:color w:val="000000"/>
          <w:sz w:val="20"/>
          <w:szCs w:val="20"/>
          <w:lang w:eastAsia="it-IT"/>
        </w:rPr>
      </w:pPr>
      <w:r w:rsidRPr="00A10FBB">
        <w:rPr>
          <w:rFonts w:ascii="Times New Roman" w:hAnsi="Times New Roman"/>
          <w:i/>
          <w:iCs/>
          <w:color w:val="000000"/>
          <w:sz w:val="20"/>
          <w:szCs w:val="20"/>
          <w:lang w:eastAsia="it-IT"/>
        </w:rPr>
        <w:t>stesura del Piano Triennale di Prevenzione della Corruzione</w:t>
      </w:r>
      <w:r w:rsidRPr="00A10FBB">
        <w:rPr>
          <w:rFonts w:ascii="Times New Roman" w:hAnsi="Times New Roman"/>
          <w:i/>
          <w:color w:val="000000"/>
          <w:sz w:val="20"/>
          <w:szCs w:val="20"/>
          <w:lang w:eastAsia="it-IT"/>
        </w:rPr>
        <w:t xml:space="preserve">. </w:t>
      </w:r>
    </w:p>
    <w:p w14:paraId="410144F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68C077E6" w14:textId="77777777" w:rsidR="00603F3F" w:rsidRPr="00FB6EB4" w:rsidRDefault="00603F3F" w:rsidP="00603F3F">
      <w:pPr>
        <w:widowControl w:val="0"/>
        <w:spacing w:after="0"/>
        <w:jc w:val="both"/>
        <w:rPr>
          <w:rFonts w:ascii="Times New Roman" w:hAnsi="Times New Roman"/>
          <w:color w:val="000000"/>
          <w:sz w:val="20"/>
          <w:szCs w:val="20"/>
          <w:lang w:eastAsia="it-IT"/>
        </w:rPr>
      </w:pPr>
      <w:r w:rsidRPr="00FB6EB4">
        <w:rPr>
          <w:rFonts w:ascii="Times New Roman" w:hAnsi="Times New Roman"/>
          <w:color w:val="000000"/>
          <w:sz w:val="20"/>
          <w:szCs w:val="20"/>
          <w:lang w:eastAsia="it-IT"/>
        </w:rPr>
        <w:t xml:space="preserve">Con l’approvazione ed adozione del PTPCT avrà inizio l’attività di </w:t>
      </w:r>
      <w:r w:rsidRPr="00FB6EB4">
        <w:rPr>
          <w:rFonts w:ascii="Times New Roman" w:hAnsi="Times New Roman"/>
          <w:iCs/>
          <w:color w:val="000000"/>
          <w:sz w:val="20"/>
          <w:szCs w:val="20"/>
          <w:lang w:eastAsia="it-IT"/>
        </w:rPr>
        <w:t>monitoraggio</w:t>
      </w:r>
      <w:r w:rsidRPr="00FB6EB4">
        <w:rPr>
          <w:rFonts w:ascii="Times New Roman" w:hAnsi="Times New Roman"/>
          <w:i/>
          <w:iCs/>
          <w:color w:val="000000"/>
          <w:sz w:val="20"/>
          <w:szCs w:val="20"/>
          <w:lang w:eastAsia="it-IT"/>
        </w:rPr>
        <w:t xml:space="preserve"> </w:t>
      </w:r>
      <w:r w:rsidRPr="00FB6EB4">
        <w:rPr>
          <w:rFonts w:ascii="Times New Roman" w:hAnsi="Times New Roman"/>
          <w:color w:val="000000"/>
          <w:sz w:val="20"/>
          <w:szCs w:val="20"/>
          <w:lang w:eastAsia="it-IT"/>
        </w:rPr>
        <w:t xml:space="preserve">del Piano da parte del </w:t>
      </w:r>
      <w:r>
        <w:rPr>
          <w:rFonts w:ascii="Times New Roman" w:hAnsi="Times New Roman"/>
          <w:color w:val="000000"/>
          <w:sz w:val="20"/>
          <w:szCs w:val="20"/>
          <w:lang w:eastAsia="it-IT"/>
        </w:rPr>
        <w:t>RPCT</w:t>
      </w:r>
      <w:r w:rsidRPr="00FB6EB4">
        <w:rPr>
          <w:rFonts w:ascii="Times New Roman" w:hAnsi="Times New Roman"/>
          <w:color w:val="000000"/>
          <w:sz w:val="20"/>
          <w:szCs w:val="20"/>
          <w:lang w:eastAsia="it-IT"/>
        </w:rPr>
        <w:t>, che potrà essere effettuata anche congiuntamente all’Organismo di Vigilanza.</w:t>
      </w:r>
    </w:p>
    <w:p w14:paraId="3AC4922A" w14:textId="77777777" w:rsidR="00603F3F" w:rsidRPr="00FB6EB4" w:rsidRDefault="00603F3F" w:rsidP="00603F3F">
      <w:pPr>
        <w:widowControl w:val="0"/>
        <w:spacing w:after="0"/>
        <w:rPr>
          <w:rFonts w:ascii="Times New Roman" w:hAnsi="Times New Roman"/>
          <w:sz w:val="20"/>
          <w:szCs w:val="20"/>
          <w:lang w:val="x-none"/>
        </w:rPr>
      </w:pPr>
    </w:p>
    <w:p w14:paraId="22282668" w14:textId="77777777" w:rsidR="00603F3F" w:rsidRPr="00462192" w:rsidRDefault="00603F3F" w:rsidP="00603F3F">
      <w:pPr>
        <w:pStyle w:val="Titolo4"/>
        <w:keepNext w:val="0"/>
        <w:widowControl w:val="0"/>
        <w:jc w:val="both"/>
        <w:rPr>
          <w:b/>
          <w:lang w:val="it-IT"/>
        </w:rPr>
      </w:pPr>
      <w:bookmarkStart w:id="307" w:name="_Toc535854416"/>
      <w:r w:rsidRPr="00462192">
        <w:rPr>
          <w:b/>
          <w:lang w:val="it-IT"/>
        </w:rPr>
        <w:t>7.3.1.</w:t>
      </w:r>
      <w:r w:rsidRPr="00462192">
        <w:rPr>
          <w:b/>
          <w:lang w:val="it-IT"/>
        </w:rPr>
        <w:tab/>
        <w:t>La pianificazione</w:t>
      </w:r>
      <w:bookmarkEnd w:id="307"/>
    </w:p>
    <w:p w14:paraId="74D71A3F" w14:textId="7A5077CD" w:rsidR="00603F3F" w:rsidRPr="00FB6EB4" w:rsidRDefault="00603F3F" w:rsidP="00603F3F">
      <w:pPr>
        <w:widowControl w:val="0"/>
        <w:autoSpaceDE w:val="0"/>
        <w:autoSpaceDN w:val="0"/>
        <w:adjustRightInd w:val="0"/>
        <w:spacing w:after="0"/>
        <w:jc w:val="both"/>
        <w:rPr>
          <w:rFonts w:ascii="Times New Roman" w:hAnsi="Times New Roman"/>
          <w:sz w:val="20"/>
          <w:szCs w:val="20"/>
          <w:lang w:eastAsia="it-IT"/>
        </w:rPr>
      </w:pPr>
      <w:r w:rsidRPr="00FB6EB4">
        <w:rPr>
          <w:rFonts w:ascii="Times New Roman" w:hAnsi="Times New Roman"/>
          <w:color w:val="000000"/>
          <w:sz w:val="20"/>
          <w:szCs w:val="20"/>
          <w:lang w:eastAsia="it-IT"/>
        </w:rPr>
        <w:t>Nel processo di pianificazione sono stati individuati i soggetti da coinvolgere nell</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attività di predisposizione del PTPCT. L’identificazione dei soggetti è avvenuta tenendo conto delle attività svolte e delle peculiarità della struttura organizzativa (come da Organigramma aziendale approvato </w:t>
      </w:r>
      <w:r w:rsidRPr="00E0055C">
        <w:rPr>
          <w:rFonts w:ascii="Times New Roman" w:hAnsi="Times New Roman"/>
          <w:color w:val="000000"/>
          <w:sz w:val="20"/>
          <w:szCs w:val="20"/>
          <w:lang w:eastAsia="it-IT"/>
        </w:rPr>
        <w:t>dal</w:t>
      </w:r>
      <w:r w:rsidR="00462192" w:rsidRPr="00E0055C">
        <w:rPr>
          <w:rFonts w:ascii="Times New Roman" w:hAnsi="Times New Roman"/>
          <w:color w:val="000000"/>
          <w:sz w:val="20"/>
          <w:szCs w:val="20"/>
          <w:lang w:eastAsia="it-IT"/>
        </w:rPr>
        <w:t xml:space="preserve">l’Amministratore Unico </w:t>
      </w:r>
      <w:r w:rsidRPr="00E0055C">
        <w:rPr>
          <w:rFonts w:ascii="Times New Roman" w:hAnsi="Times New Roman"/>
          <w:color w:val="000000"/>
          <w:sz w:val="20"/>
          <w:szCs w:val="20"/>
          <w:lang w:eastAsia="it-IT"/>
        </w:rPr>
        <w:t xml:space="preserve">in data </w:t>
      </w:r>
      <w:r w:rsidR="00E0055C" w:rsidRPr="00E0055C">
        <w:rPr>
          <w:rFonts w:ascii="Times New Roman" w:hAnsi="Times New Roman"/>
          <w:color w:val="000000"/>
          <w:sz w:val="20"/>
          <w:szCs w:val="20"/>
          <w:lang w:eastAsia="it-IT"/>
        </w:rPr>
        <w:t>22 gennaio 2019</w:t>
      </w:r>
      <w:r w:rsidRPr="00E0055C">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 Prima di procedere all</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analisi dei rischi di corruzione si è provveduto a definire il quadro dei principali processi che caratterizzano l’attività </w:t>
      </w:r>
      <w:r>
        <w:rPr>
          <w:rFonts w:ascii="Times New Roman" w:hAnsi="Times New Roman"/>
          <w:color w:val="000000"/>
          <w:sz w:val="20"/>
          <w:szCs w:val="20"/>
          <w:lang w:eastAsia="it-IT"/>
        </w:rPr>
        <w:t>della società</w:t>
      </w:r>
      <w:r w:rsidRPr="00FB6EB4">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 xml:space="preserve">e </w:t>
      </w:r>
      <w:r w:rsidRPr="00FB6EB4">
        <w:rPr>
          <w:rFonts w:ascii="Times New Roman" w:hAnsi="Times New Roman"/>
          <w:sz w:val="20"/>
          <w:szCs w:val="20"/>
          <w:lang w:eastAsia="it-IT"/>
        </w:rPr>
        <w:t xml:space="preserve">che emergono </w:t>
      </w:r>
      <w:r w:rsidRPr="004423D6">
        <w:rPr>
          <w:rFonts w:ascii="Times New Roman" w:hAnsi="Times New Roman"/>
          <w:sz w:val="20"/>
          <w:szCs w:val="20"/>
          <w:lang w:eastAsia="it-IT"/>
        </w:rPr>
        <w:t xml:space="preserve">dalla </w:t>
      </w:r>
      <w:hyperlink r:id="rId14" w:history="1">
        <w:r w:rsidRPr="004423D6">
          <w:rPr>
            <w:rFonts w:ascii="Times New Roman" w:eastAsia="Times New Roman" w:hAnsi="Times New Roman"/>
            <w:bCs/>
            <w:kern w:val="32"/>
            <w:sz w:val="20"/>
            <w:szCs w:val="20"/>
            <w:lang w:val="x-none"/>
          </w:rPr>
          <w:t>Macrostruttura</w:t>
        </w:r>
      </w:hyperlink>
      <w:r w:rsidRPr="004423D6">
        <w:rPr>
          <w:rFonts w:ascii="Times New Roman" w:hAnsi="Times New Roman"/>
          <w:sz w:val="20"/>
          <w:szCs w:val="20"/>
          <w:lang w:eastAsia="it-IT"/>
        </w:rPr>
        <w:t xml:space="preserve"> e Microstrutture di dettaglio.</w:t>
      </w:r>
    </w:p>
    <w:p w14:paraId="7B16E3C3" w14:textId="77777777" w:rsidR="00603F3F" w:rsidRPr="00FB6EB4"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82C99DD" w14:textId="77777777" w:rsidR="00603F3F" w:rsidRPr="00462192" w:rsidRDefault="00603F3F" w:rsidP="00603F3F">
      <w:pPr>
        <w:pStyle w:val="Titolo4"/>
        <w:keepNext w:val="0"/>
        <w:widowControl w:val="0"/>
        <w:jc w:val="both"/>
        <w:rPr>
          <w:b/>
          <w:lang w:val="it-IT"/>
        </w:rPr>
      </w:pPr>
      <w:bookmarkStart w:id="308" w:name="_Toc535854417"/>
      <w:r w:rsidRPr="00462192">
        <w:rPr>
          <w:b/>
          <w:lang w:val="it-IT"/>
        </w:rPr>
        <w:t>7.3.2.</w:t>
      </w:r>
      <w:r w:rsidRPr="00462192">
        <w:rPr>
          <w:b/>
          <w:lang w:val="it-IT"/>
        </w:rPr>
        <w:tab/>
        <w:t>La mappatura, l’analisi e la valutazione del rischio dei processi</w:t>
      </w:r>
      <w:bookmarkEnd w:id="308"/>
      <w:r w:rsidRPr="00462192">
        <w:rPr>
          <w:b/>
          <w:lang w:val="it-IT"/>
        </w:rPr>
        <w:t xml:space="preserve"> </w:t>
      </w:r>
    </w:p>
    <w:p w14:paraId="22178E07" w14:textId="6FD97225" w:rsidR="00603F3F" w:rsidRDefault="00603F3F" w:rsidP="00603F3F">
      <w:pPr>
        <w:widowControl w:val="0"/>
        <w:autoSpaceDE w:val="0"/>
        <w:autoSpaceDN w:val="0"/>
        <w:adjustRightInd w:val="0"/>
        <w:spacing w:after="0"/>
        <w:jc w:val="both"/>
        <w:rPr>
          <w:rFonts w:ascii="Times New Roman" w:hAnsi="Times New Roman"/>
          <w:color w:val="000000"/>
        </w:rPr>
      </w:pPr>
      <w:r w:rsidRPr="001C1D11">
        <w:rPr>
          <w:rFonts w:ascii="Times New Roman" w:hAnsi="Times New Roman"/>
          <w:color w:val="000000"/>
          <w:sz w:val="20"/>
          <w:szCs w:val="20"/>
          <w:lang w:eastAsia="it-IT"/>
        </w:rPr>
        <w:t xml:space="preserve">Nel pianificare il </w:t>
      </w:r>
      <w:r w:rsidR="000F2E67" w:rsidRPr="004423D6">
        <w:rPr>
          <w:rFonts w:ascii="Times New Roman" w:hAnsi="Times New Roman"/>
          <w:color w:val="000000"/>
          <w:sz w:val="20"/>
          <w:szCs w:val="20"/>
          <w:lang w:eastAsia="it-IT"/>
        </w:rPr>
        <w:t>PTPCT</w:t>
      </w:r>
      <w:r w:rsidRPr="004423D6">
        <w:rPr>
          <w:rFonts w:ascii="Times New Roman" w:hAnsi="Times New Roman"/>
          <w:color w:val="000000"/>
          <w:sz w:val="20"/>
          <w:szCs w:val="20"/>
          <w:lang w:eastAsia="it-IT"/>
        </w:rPr>
        <w:t>,</w:t>
      </w:r>
      <w:r w:rsidRPr="001C1D11">
        <w:rPr>
          <w:rFonts w:ascii="Times New Roman" w:hAnsi="Times New Roman"/>
          <w:color w:val="000000"/>
          <w:sz w:val="20"/>
          <w:szCs w:val="20"/>
          <w:lang w:eastAsia="it-IT"/>
        </w:rPr>
        <w:t xml:space="preserve"> la </w:t>
      </w:r>
      <w:r>
        <w:rPr>
          <w:rFonts w:ascii="Times New Roman" w:hAnsi="Times New Roman"/>
          <w:color w:val="000000"/>
          <w:sz w:val="20"/>
          <w:szCs w:val="20"/>
          <w:lang w:eastAsia="it-IT"/>
        </w:rPr>
        <w:t>società</w:t>
      </w:r>
      <w:r w:rsidRPr="001C1D11">
        <w:rPr>
          <w:rFonts w:ascii="Times New Roman" w:hAnsi="Times New Roman"/>
          <w:color w:val="000000"/>
          <w:sz w:val="20"/>
          <w:szCs w:val="20"/>
          <w:lang w:eastAsia="it-IT"/>
        </w:rPr>
        <w:t>. considera i fattori interni ed esterni all’Azienda, i requisiti del cliente e determina i rischi e le opportunità che è necessario affrontare per:</w:t>
      </w:r>
    </w:p>
    <w:p w14:paraId="7CB054BE" w14:textId="334D70D1" w:rsidR="00603F3F" w:rsidRPr="00A10FBB" w:rsidRDefault="00603F3F" w:rsidP="003E3269">
      <w:pPr>
        <w:pStyle w:val="Paragrafoelenco"/>
        <w:widowControl w:val="0"/>
        <w:numPr>
          <w:ilvl w:val="0"/>
          <w:numId w:val="29"/>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 xml:space="preserve">assicurare che il </w:t>
      </w:r>
      <w:r w:rsidR="000F2E67" w:rsidRPr="00A10FBB">
        <w:rPr>
          <w:rFonts w:ascii="Times New Roman" w:hAnsi="Times New Roman"/>
          <w:i/>
          <w:color w:val="000000"/>
          <w:sz w:val="20"/>
          <w:szCs w:val="20"/>
          <w:lang w:eastAsia="it-IT"/>
        </w:rPr>
        <w:t>PTPCT</w:t>
      </w:r>
      <w:r w:rsidRPr="00A10FBB">
        <w:rPr>
          <w:rFonts w:ascii="Times New Roman" w:hAnsi="Times New Roman"/>
          <w:i/>
          <w:color w:val="000000"/>
          <w:sz w:val="20"/>
          <w:szCs w:val="20"/>
          <w:lang w:eastAsia="it-IT"/>
        </w:rPr>
        <w:t xml:space="preserve"> consegua il risultato atteso;</w:t>
      </w:r>
    </w:p>
    <w:p w14:paraId="13AFF1B1" w14:textId="5EA60287" w:rsidR="00603F3F" w:rsidRPr="00A10FBB" w:rsidRDefault="00603F3F" w:rsidP="003E3269">
      <w:pPr>
        <w:pStyle w:val="Paragrafoelenco"/>
        <w:widowControl w:val="0"/>
        <w:numPr>
          <w:ilvl w:val="0"/>
          <w:numId w:val="29"/>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accrescere gli effetti desiderati;</w:t>
      </w:r>
    </w:p>
    <w:p w14:paraId="5FD7BFBB" w14:textId="3856CFA2" w:rsidR="00603F3F" w:rsidRPr="00A10FBB" w:rsidRDefault="00603F3F" w:rsidP="003E3269">
      <w:pPr>
        <w:pStyle w:val="Paragrafoelenco"/>
        <w:widowControl w:val="0"/>
        <w:numPr>
          <w:ilvl w:val="0"/>
          <w:numId w:val="29"/>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prevenire o ridurre gli effetti indesiderati;</w:t>
      </w:r>
    </w:p>
    <w:p w14:paraId="72E35E1E" w14:textId="1619C944" w:rsidR="00603F3F" w:rsidRPr="00A10FBB" w:rsidRDefault="00603F3F" w:rsidP="003E3269">
      <w:pPr>
        <w:pStyle w:val="Paragrafoelenco"/>
        <w:widowControl w:val="0"/>
        <w:numPr>
          <w:ilvl w:val="0"/>
          <w:numId w:val="29"/>
        </w:numPr>
        <w:autoSpaceDE w:val="0"/>
        <w:autoSpaceDN w:val="0"/>
        <w:adjustRightInd w:val="0"/>
        <w:spacing w:after="0" w:line="276" w:lineRule="auto"/>
        <w:ind w:left="284" w:hanging="283"/>
        <w:contextualSpacing w:val="0"/>
        <w:jc w:val="both"/>
        <w:rPr>
          <w:rFonts w:ascii="Times New Roman" w:hAnsi="Times New Roman"/>
          <w:i/>
          <w:color w:val="000000"/>
          <w:sz w:val="20"/>
          <w:szCs w:val="20"/>
        </w:rPr>
      </w:pPr>
      <w:r w:rsidRPr="00A10FBB">
        <w:rPr>
          <w:rFonts w:ascii="Times New Roman" w:hAnsi="Times New Roman"/>
          <w:i/>
          <w:color w:val="000000"/>
          <w:sz w:val="20"/>
          <w:szCs w:val="20"/>
          <w:lang w:eastAsia="it-IT"/>
        </w:rPr>
        <w:t xml:space="preserve">conseguire il miglioramento. </w:t>
      </w:r>
    </w:p>
    <w:p w14:paraId="179EA866" w14:textId="77777777" w:rsidR="00603F3F" w:rsidRPr="001C1D11" w:rsidRDefault="00603F3F" w:rsidP="00603F3F">
      <w:pPr>
        <w:widowControl w:val="0"/>
        <w:autoSpaceDE w:val="0"/>
        <w:autoSpaceDN w:val="0"/>
        <w:adjustRightInd w:val="0"/>
        <w:spacing w:after="0"/>
        <w:ind w:left="284"/>
        <w:jc w:val="both"/>
        <w:rPr>
          <w:rFonts w:ascii="Times New Roman" w:hAnsi="Times New Roman"/>
          <w:color w:val="000000"/>
          <w:sz w:val="20"/>
          <w:szCs w:val="20"/>
          <w:lang w:eastAsia="it-IT"/>
        </w:rPr>
      </w:pPr>
    </w:p>
    <w:p w14:paraId="57AD374F" w14:textId="5A660A22"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C1D11">
        <w:rPr>
          <w:rFonts w:ascii="Times New Roman" w:hAnsi="Times New Roman"/>
          <w:color w:val="000000"/>
          <w:sz w:val="20"/>
          <w:szCs w:val="20"/>
          <w:lang w:eastAsia="it-IT"/>
        </w:rPr>
        <w:t xml:space="preserve">La gestione del Rischio viene attuata mediante l’applicazione del </w:t>
      </w:r>
      <w:r w:rsidR="0089562B" w:rsidRPr="00FB6EB4">
        <w:rPr>
          <w:rFonts w:ascii="Times New Roman" w:hAnsi="Times New Roman"/>
          <w:color w:val="000000"/>
          <w:sz w:val="20"/>
          <w:szCs w:val="20"/>
          <w:lang w:eastAsia="it-IT"/>
        </w:rPr>
        <w:t>PTPCT</w:t>
      </w:r>
      <w:r w:rsidR="00075879">
        <w:rPr>
          <w:rFonts w:ascii="Times New Roman" w:hAnsi="Times New Roman"/>
          <w:color w:val="000000"/>
          <w:sz w:val="20"/>
          <w:szCs w:val="20"/>
          <w:lang w:eastAsia="it-IT"/>
        </w:rPr>
        <w:t>.</w:t>
      </w:r>
      <w:r w:rsidR="0089562B">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 xml:space="preserve">L’accertamento periodico dello stato di adeguatezza del </w:t>
      </w:r>
      <w:r w:rsidR="0089562B" w:rsidRPr="00FB6EB4">
        <w:rPr>
          <w:rFonts w:ascii="Times New Roman" w:hAnsi="Times New Roman"/>
          <w:color w:val="000000"/>
          <w:sz w:val="20"/>
          <w:szCs w:val="20"/>
          <w:lang w:eastAsia="it-IT"/>
        </w:rPr>
        <w:t>PTPCT</w:t>
      </w:r>
      <w:r w:rsidR="0089562B" w:rsidRPr="001C1D11">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con il Piano di Gestione del Rischio, avviene mediante la verifica periodica (</w:t>
      </w:r>
      <w:r w:rsidRPr="00183C4D">
        <w:rPr>
          <w:rFonts w:ascii="Times New Roman" w:hAnsi="Times New Roman"/>
          <w:i/>
          <w:color w:val="000000"/>
          <w:sz w:val="20"/>
          <w:szCs w:val="20"/>
          <w:lang w:eastAsia="it-IT"/>
        </w:rPr>
        <w:t>Audit</w:t>
      </w:r>
      <w:r w:rsidRPr="001C1D11">
        <w:rPr>
          <w:rFonts w:ascii="Times New Roman" w:hAnsi="Times New Roman"/>
          <w:color w:val="000000"/>
          <w:sz w:val="20"/>
          <w:szCs w:val="20"/>
          <w:lang w:eastAsia="it-IT"/>
        </w:rPr>
        <w:t xml:space="preserve">) del </w:t>
      </w:r>
      <w:r w:rsidR="0089562B">
        <w:rPr>
          <w:rFonts w:ascii="Times New Roman" w:hAnsi="Times New Roman"/>
          <w:color w:val="000000"/>
          <w:sz w:val="20"/>
          <w:szCs w:val="20"/>
          <w:lang w:eastAsia="it-IT"/>
        </w:rPr>
        <w:t>RPC e dell’ODV</w:t>
      </w:r>
      <w:r w:rsidRPr="001C1D11">
        <w:rPr>
          <w:rFonts w:ascii="Times New Roman" w:hAnsi="Times New Roman"/>
          <w:color w:val="000000"/>
          <w:sz w:val="20"/>
          <w:szCs w:val="20"/>
          <w:lang w:eastAsia="it-IT"/>
        </w:rPr>
        <w:t xml:space="preserve">. I risultati delle verifiche interne riferiscono in ordine al rischio, ai progressi relativi al </w:t>
      </w:r>
      <w:r w:rsidR="0089562B" w:rsidRPr="00FB6EB4">
        <w:rPr>
          <w:rFonts w:ascii="Times New Roman" w:hAnsi="Times New Roman"/>
          <w:color w:val="000000"/>
          <w:sz w:val="20"/>
          <w:szCs w:val="20"/>
          <w:lang w:eastAsia="it-IT"/>
        </w:rPr>
        <w:t>PTPCT</w:t>
      </w:r>
      <w:r w:rsidR="0089562B" w:rsidRPr="001C1D11">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ed al livello di adesione alla politica per la Gestione del Rischio.</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 xml:space="preserve">Pertanto affinché il </w:t>
      </w:r>
      <w:r w:rsidR="0089562B" w:rsidRPr="00FB6EB4">
        <w:rPr>
          <w:rFonts w:ascii="Times New Roman" w:hAnsi="Times New Roman"/>
          <w:color w:val="000000"/>
          <w:sz w:val="20"/>
          <w:szCs w:val="20"/>
          <w:lang w:eastAsia="it-IT"/>
        </w:rPr>
        <w:t>PTPCT</w:t>
      </w:r>
      <w:r w:rsidRPr="001C1D11">
        <w:rPr>
          <w:rFonts w:ascii="Times New Roman" w:hAnsi="Times New Roman"/>
          <w:color w:val="000000"/>
          <w:sz w:val="20"/>
          <w:szCs w:val="20"/>
          <w:lang w:eastAsia="it-IT"/>
        </w:rPr>
        <w:t xml:space="preserve"> possa conseguire i risultati attesi occorre pianificare le azioni da intraprendere per affrontare i rischi e le opportunità</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Inoltre, a grandi linee, possiamo definire un processo come un insieme di attività tra loro interdipendenti e finalizzate al perseguimento di un obiettivo specifico; il processo riceve un certo input, vi apporta delle trasformazioni (che ne aggiungono valore) utilizzando risorse aziendali, e trasferisce all’esterno l’output richiesto tenendo conto degli eventuali elementi interni ed esterni che condizionano l’esecuzione del processo. Questi possono essere sia vincoli di tipo legislativo sia derivanti da</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necessità</w:t>
      </w:r>
      <w:r>
        <w:rPr>
          <w:rFonts w:ascii="Times New Roman" w:hAnsi="Times New Roman"/>
          <w:color w:val="000000"/>
          <w:sz w:val="20"/>
          <w:szCs w:val="20"/>
          <w:lang w:eastAsia="it-IT"/>
        </w:rPr>
        <w:t xml:space="preserve"> </w:t>
      </w:r>
      <w:r w:rsidRPr="001C1D11">
        <w:rPr>
          <w:rFonts w:ascii="Times New Roman" w:hAnsi="Times New Roman"/>
          <w:color w:val="000000"/>
          <w:sz w:val="20"/>
          <w:szCs w:val="20"/>
          <w:lang w:eastAsia="it-IT"/>
        </w:rPr>
        <w:t>organizzative.</w:t>
      </w:r>
    </w:p>
    <w:p w14:paraId="2B2FB5CE" w14:textId="77777777" w:rsidR="00603F3F" w:rsidRPr="00FB6EB4"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605E6D16" w14:textId="77777777" w:rsidR="00603F3F" w:rsidRPr="00462192" w:rsidRDefault="00603F3F" w:rsidP="00603F3F">
      <w:pPr>
        <w:pStyle w:val="Titolo4"/>
        <w:keepNext w:val="0"/>
        <w:widowControl w:val="0"/>
        <w:jc w:val="both"/>
        <w:rPr>
          <w:b/>
          <w:lang w:val="it-IT"/>
        </w:rPr>
      </w:pPr>
      <w:bookmarkStart w:id="309" w:name="_Toc499884067"/>
      <w:bookmarkStart w:id="310" w:name="_Toc535854418"/>
      <w:r w:rsidRPr="00462192">
        <w:rPr>
          <w:b/>
          <w:lang w:val="it-IT"/>
        </w:rPr>
        <w:t>7.3.3.</w:t>
      </w:r>
      <w:bookmarkEnd w:id="309"/>
      <w:r w:rsidRPr="00462192">
        <w:rPr>
          <w:b/>
          <w:lang w:val="it-IT"/>
        </w:rPr>
        <w:tab/>
        <w:t>Le misure di trattamento del rischio</w:t>
      </w:r>
      <w:bookmarkEnd w:id="310"/>
    </w:p>
    <w:p w14:paraId="429721EA" w14:textId="482A263C" w:rsidR="00603F3F" w:rsidRPr="00164E09" w:rsidRDefault="00603F3F" w:rsidP="00603F3F">
      <w:pPr>
        <w:widowControl w:val="0"/>
        <w:spacing w:after="0"/>
        <w:jc w:val="both"/>
        <w:rPr>
          <w:rFonts w:ascii="Times New Roman" w:hAnsi="Times New Roman"/>
          <w:sz w:val="20"/>
          <w:szCs w:val="20"/>
        </w:rPr>
      </w:pPr>
      <w:r w:rsidRPr="00164E09">
        <w:rPr>
          <w:rFonts w:ascii="Times New Roman" w:hAnsi="Times New Roman"/>
          <w:color w:val="000000"/>
          <w:sz w:val="20"/>
          <w:szCs w:val="20"/>
          <w:lang w:eastAsia="it-IT"/>
        </w:rPr>
        <w:t>La terza fase ha riguardato la progettazione del sistema di trattamento dei rischi individuati nella fase precedente. Tale sistema comprende la definizione delle strategie di risposta al rischio e la progettazione delle azioni specifiche da implementare al fine di allineare il profilo di rischio residuo al livello di rischio considerato accettabile.</w:t>
      </w:r>
      <w:r>
        <w:rPr>
          <w:rFonts w:ascii="Times New Roman" w:hAnsi="Times New Roman"/>
          <w:color w:val="000000"/>
          <w:sz w:val="20"/>
          <w:szCs w:val="20"/>
          <w:lang w:eastAsia="it-IT"/>
        </w:rPr>
        <w:t xml:space="preserve"> </w:t>
      </w:r>
      <w:r w:rsidRPr="00164E09">
        <w:rPr>
          <w:rFonts w:ascii="Times New Roman" w:hAnsi="Times New Roman"/>
          <w:sz w:val="20"/>
          <w:szCs w:val="20"/>
        </w:rPr>
        <w:t>Si è proceduto all’implementazione di un sistema di gestione dei rischi attraver</w:t>
      </w:r>
      <w:r w:rsidR="000B6EC0">
        <w:rPr>
          <w:rFonts w:ascii="Times New Roman" w:hAnsi="Times New Roman"/>
          <w:sz w:val="20"/>
          <w:szCs w:val="20"/>
        </w:rPr>
        <w:t xml:space="preserve">so il coinvolgimento del Direttore e di </w:t>
      </w:r>
      <w:r w:rsidR="00462192">
        <w:rPr>
          <w:rFonts w:ascii="Times New Roman" w:hAnsi="Times New Roman"/>
          <w:sz w:val="20"/>
          <w:szCs w:val="20"/>
        </w:rPr>
        <w:t xml:space="preserve">tutti i </w:t>
      </w:r>
      <w:r w:rsidR="000B6EC0">
        <w:rPr>
          <w:rFonts w:ascii="Times New Roman" w:hAnsi="Times New Roman"/>
          <w:sz w:val="20"/>
          <w:szCs w:val="20"/>
        </w:rPr>
        <w:t xml:space="preserve">Responsabili </w:t>
      </w:r>
      <w:r w:rsidRPr="00164E09">
        <w:rPr>
          <w:rFonts w:ascii="Times New Roman" w:hAnsi="Times New Roman"/>
          <w:sz w:val="20"/>
          <w:szCs w:val="20"/>
        </w:rPr>
        <w:t>per le aree di rispettiva competenza al fine di fare emergere gli aspetti cruciali.</w:t>
      </w:r>
    </w:p>
    <w:p w14:paraId="3AFCE9F2" w14:textId="77777777" w:rsidR="00603F3F" w:rsidRPr="00164E09" w:rsidRDefault="00603F3F" w:rsidP="00603F3F">
      <w:pPr>
        <w:widowControl w:val="0"/>
        <w:spacing w:after="0"/>
        <w:jc w:val="both"/>
        <w:rPr>
          <w:rFonts w:ascii="Times New Roman" w:hAnsi="Times New Roman"/>
          <w:sz w:val="20"/>
          <w:szCs w:val="20"/>
        </w:rPr>
      </w:pPr>
    </w:p>
    <w:p w14:paraId="32731084" w14:textId="5B84489E" w:rsidR="00603F3F" w:rsidRPr="00164E09" w:rsidRDefault="00603F3F" w:rsidP="00166F70">
      <w:pPr>
        <w:widowControl w:val="0"/>
        <w:autoSpaceDE w:val="0"/>
        <w:autoSpaceDN w:val="0"/>
        <w:adjustRightInd w:val="0"/>
        <w:spacing w:after="0"/>
        <w:jc w:val="both"/>
        <w:rPr>
          <w:rFonts w:ascii="Times New Roman" w:hAnsi="Times New Roman"/>
          <w:color w:val="000000"/>
          <w:sz w:val="20"/>
          <w:szCs w:val="20"/>
          <w:lang w:eastAsia="it-IT"/>
        </w:rPr>
      </w:pPr>
      <w:r w:rsidRPr="00164E09">
        <w:rPr>
          <w:rFonts w:ascii="Times New Roman" w:hAnsi="Times New Roman"/>
          <w:color w:val="000000"/>
          <w:sz w:val="20"/>
          <w:szCs w:val="20"/>
          <w:lang w:eastAsia="it-IT"/>
        </w:rPr>
        <w:t>Le misure di carattere generale o trasversali si riferiscono a tutte quelle azioni di prevenzione del rischio di corruzione che riguardano l</w:t>
      </w:r>
      <w:r>
        <w:rPr>
          <w:rFonts w:ascii="Times New Roman" w:hAnsi="Times New Roman"/>
          <w:color w:val="000000"/>
          <w:sz w:val="20"/>
          <w:szCs w:val="20"/>
          <w:lang w:eastAsia="it-IT"/>
        </w:rPr>
        <w:t>’</w:t>
      </w:r>
      <w:r w:rsidRPr="00164E09">
        <w:rPr>
          <w:rFonts w:ascii="Times New Roman" w:hAnsi="Times New Roman"/>
          <w:color w:val="000000"/>
          <w:sz w:val="20"/>
          <w:szCs w:val="20"/>
          <w:lang w:eastAsia="it-IT"/>
        </w:rPr>
        <w:t xml:space="preserve">organizzazione nel suo complesso e che definiscono le caratteristiche del contesto organizzativo, in cui operano le misure di controllo specifiche o particolari, che riguardano, invece, i singoli processi a rischio. Le misure di carattere generale si riferiscono a: </w:t>
      </w:r>
    </w:p>
    <w:p w14:paraId="034D7432" w14:textId="1EF842BD"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164E09">
        <w:rPr>
          <w:rFonts w:ascii="Times New Roman" w:hAnsi="Times New Roman"/>
          <w:color w:val="000000"/>
          <w:sz w:val="20"/>
          <w:szCs w:val="20"/>
          <w:lang w:eastAsia="it-IT"/>
        </w:rPr>
        <w:t>a)</w:t>
      </w:r>
      <w:r w:rsidRPr="00164E09">
        <w:rPr>
          <w:rFonts w:ascii="Times New Roman" w:hAnsi="Times New Roman"/>
          <w:color w:val="000000"/>
          <w:sz w:val="20"/>
          <w:szCs w:val="20"/>
          <w:lang w:eastAsia="it-IT"/>
        </w:rPr>
        <w:tab/>
      </w:r>
      <w:r w:rsidRPr="00A10FBB">
        <w:rPr>
          <w:rFonts w:ascii="Times New Roman" w:hAnsi="Times New Roman"/>
          <w:i/>
          <w:color w:val="000000"/>
          <w:sz w:val="20"/>
          <w:szCs w:val="20"/>
          <w:lang w:eastAsia="it-IT"/>
        </w:rPr>
        <w:t xml:space="preserve">le azioni poste in essere per assicurare la trasparenza delle attività realizzate dalla società; </w:t>
      </w:r>
    </w:p>
    <w:p w14:paraId="4D6F4647" w14:textId="768F58E6"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b)</w:t>
      </w:r>
      <w:r w:rsidRPr="00A10FBB">
        <w:rPr>
          <w:rFonts w:ascii="Times New Roman" w:hAnsi="Times New Roman"/>
          <w:i/>
          <w:color w:val="000000"/>
          <w:sz w:val="20"/>
          <w:szCs w:val="20"/>
          <w:lang w:eastAsia="it-IT"/>
        </w:rPr>
        <w:tab/>
        <w:t xml:space="preserve">l’informatizzazione dei processi; </w:t>
      </w:r>
    </w:p>
    <w:p w14:paraId="40E800C4"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c)</w:t>
      </w:r>
      <w:r w:rsidRPr="00A10FBB">
        <w:rPr>
          <w:rFonts w:ascii="Times New Roman" w:hAnsi="Times New Roman"/>
          <w:i/>
          <w:color w:val="000000"/>
          <w:sz w:val="20"/>
          <w:szCs w:val="20"/>
          <w:lang w:eastAsia="it-IT"/>
        </w:rPr>
        <w:tab/>
        <w:t xml:space="preserve">l’accesso telematico a dati, documenti e procedimenti e il riutilizzo dei dati, documenti e procedimenti; </w:t>
      </w:r>
    </w:p>
    <w:p w14:paraId="1F722A0F"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d)</w:t>
      </w:r>
      <w:r w:rsidRPr="00A10FBB">
        <w:rPr>
          <w:rFonts w:ascii="Times New Roman" w:hAnsi="Times New Roman"/>
          <w:i/>
          <w:color w:val="000000"/>
          <w:sz w:val="20"/>
          <w:szCs w:val="20"/>
          <w:lang w:eastAsia="it-IT"/>
        </w:rPr>
        <w:tab/>
        <w:t xml:space="preserve">il monitoraggio sul rispetto dei termini; </w:t>
      </w:r>
    </w:p>
    <w:p w14:paraId="79C44688"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e)</w:t>
      </w:r>
      <w:r w:rsidRPr="00A10FBB">
        <w:rPr>
          <w:rFonts w:ascii="Times New Roman" w:hAnsi="Times New Roman"/>
          <w:i/>
          <w:color w:val="000000"/>
          <w:sz w:val="20"/>
          <w:szCs w:val="20"/>
          <w:lang w:eastAsia="it-IT"/>
        </w:rPr>
        <w:tab/>
        <w:t xml:space="preserve">il codice etico e di comportamento; </w:t>
      </w:r>
    </w:p>
    <w:p w14:paraId="79D2BB60" w14:textId="77777777" w:rsidR="00603F3F" w:rsidRPr="00A10FB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A10FBB">
        <w:rPr>
          <w:rFonts w:ascii="Times New Roman" w:hAnsi="Times New Roman"/>
          <w:i/>
          <w:color w:val="000000"/>
          <w:sz w:val="20"/>
          <w:szCs w:val="20"/>
          <w:lang w:eastAsia="it-IT"/>
        </w:rPr>
        <w:t>f)</w:t>
      </w:r>
      <w:r w:rsidRPr="00A10FBB">
        <w:rPr>
          <w:rFonts w:ascii="Times New Roman" w:hAnsi="Times New Roman"/>
          <w:i/>
          <w:color w:val="000000"/>
          <w:sz w:val="20"/>
          <w:szCs w:val="20"/>
          <w:lang w:eastAsia="it-IT"/>
        </w:rPr>
        <w:tab/>
        <w:t xml:space="preserve">la formazione e la comunicazione del Piano. </w:t>
      </w:r>
    </w:p>
    <w:p w14:paraId="246B4857" w14:textId="77777777" w:rsidR="00603F3F" w:rsidRPr="00164E09" w:rsidRDefault="00603F3F" w:rsidP="00603F3F">
      <w:pPr>
        <w:widowControl w:val="0"/>
        <w:spacing w:after="0"/>
        <w:jc w:val="both"/>
        <w:rPr>
          <w:rFonts w:ascii="Times New Roman" w:hAnsi="Times New Roman"/>
          <w:color w:val="000000"/>
          <w:sz w:val="20"/>
          <w:szCs w:val="20"/>
          <w:lang w:eastAsia="it-IT"/>
        </w:rPr>
      </w:pPr>
    </w:p>
    <w:p w14:paraId="5C174F42" w14:textId="22C68104" w:rsidR="00603F3F" w:rsidRDefault="00603F3F" w:rsidP="00603F3F">
      <w:pPr>
        <w:widowControl w:val="0"/>
        <w:spacing w:after="0"/>
        <w:jc w:val="both"/>
        <w:rPr>
          <w:rFonts w:ascii="Times New Roman" w:hAnsi="Times New Roman"/>
          <w:sz w:val="20"/>
          <w:szCs w:val="20"/>
        </w:rPr>
      </w:pPr>
      <w:r w:rsidRPr="00164E09">
        <w:rPr>
          <w:rFonts w:ascii="Times New Roman" w:hAnsi="Times New Roman"/>
          <w:color w:val="000000"/>
          <w:sz w:val="20"/>
          <w:szCs w:val="20"/>
          <w:lang w:eastAsia="it-IT"/>
        </w:rPr>
        <w:t>Le misure indicate nelle lettere a), b), c), d), e) costituiscono le misure obbligatorie di prevenzione dei rischi adottate in conformità con quanto previsto dal PNA e dai relativi allegati. Le altre misure possono essere considerate delle misure ulteriori adottate da</w:t>
      </w:r>
      <w:r>
        <w:rPr>
          <w:rFonts w:ascii="Times New Roman" w:hAnsi="Times New Roman"/>
          <w:color w:val="000000"/>
          <w:sz w:val="20"/>
          <w:szCs w:val="20"/>
          <w:lang w:eastAsia="it-IT"/>
        </w:rPr>
        <w:t>lla società</w:t>
      </w:r>
      <w:r w:rsidRPr="00164E09">
        <w:rPr>
          <w:rFonts w:ascii="Times New Roman" w:hAnsi="Times New Roman"/>
          <w:color w:val="000000"/>
          <w:sz w:val="20"/>
          <w:szCs w:val="20"/>
          <w:lang w:eastAsia="it-IT"/>
        </w:rPr>
        <w:t xml:space="preserve"> per favorire il trattamento dei rischi di corruzione.</w:t>
      </w:r>
      <w:r>
        <w:rPr>
          <w:rFonts w:ascii="Times New Roman" w:hAnsi="Times New Roman"/>
          <w:color w:val="000000"/>
          <w:sz w:val="20"/>
          <w:szCs w:val="20"/>
          <w:lang w:eastAsia="it-IT"/>
        </w:rPr>
        <w:t xml:space="preserve"> </w:t>
      </w:r>
      <w:r w:rsidRPr="00164E09">
        <w:rPr>
          <w:rFonts w:ascii="Times New Roman" w:hAnsi="Times New Roman"/>
          <w:sz w:val="20"/>
          <w:szCs w:val="20"/>
        </w:rPr>
        <w:t>Le predette misure di prevenzione del rischio, obbligatorie e ulteriori, si intendono immediatamente applicative dopo l’approvazione e pubblicazione del piano.</w:t>
      </w:r>
    </w:p>
    <w:p w14:paraId="34504C3F" w14:textId="77777777" w:rsidR="00237959" w:rsidRPr="00FB6EB4" w:rsidRDefault="00237959" w:rsidP="00603F3F">
      <w:pPr>
        <w:widowControl w:val="0"/>
        <w:spacing w:after="0"/>
        <w:jc w:val="both"/>
        <w:rPr>
          <w:rFonts w:ascii="Times New Roman" w:hAnsi="Times New Roman"/>
          <w:sz w:val="20"/>
          <w:szCs w:val="20"/>
        </w:rPr>
      </w:pPr>
    </w:p>
    <w:p w14:paraId="05487F0E" w14:textId="77777777" w:rsidR="00603F3F" w:rsidRPr="00FB6EB4" w:rsidRDefault="00603F3F" w:rsidP="00603F3F">
      <w:pPr>
        <w:widowControl w:val="0"/>
        <w:spacing w:after="0"/>
        <w:ind w:left="284"/>
        <w:jc w:val="both"/>
        <w:rPr>
          <w:rFonts w:ascii="Times New Roman" w:hAnsi="Times New Roman"/>
          <w:sz w:val="20"/>
          <w:szCs w:val="20"/>
        </w:rPr>
      </w:pPr>
    </w:p>
    <w:p w14:paraId="493EFB07" w14:textId="77777777" w:rsidR="00603F3F" w:rsidRPr="008748AE" w:rsidRDefault="00603F3F" w:rsidP="00603F3F">
      <w:pPr>
        <w:pStyle w:val="Titolo4"/>
        <w:keepNext w:val="0"/>
        <w:widowControl w:val="0"/>
        <w:jc w:val="both"/>
        <w:rPr>
          <w:b/>
          <w:lang w:val="it-IT"/>
        </w:rPr>
      </w:pPr>
      <w:bookmarkStart w:id="311" w:name="_Toc535854419"/>
      <w:r w:rsidRPr="008748AE">
        <w:rPr>
          <w:b/>
          <w:lang w:val="it-IT"/>
        </w:rPr>
        <w:t>7.3.4.</w:t>
      </w:r>
      <w:r w:rsidRPr="008748AE">
        <w:rPr>
          <w:b/>
          <w:lang w:val="it-IT"/>
        </w:rPr>
        <w:tab/>
        <w:t>La stesura del Piano</w:t>
      </w:r>
      <w:bookmarkEnd w:id="311"/>
    </w:p>
    <w:p w14:paraId="0D8B7A02" w14:textId="4D26C920" w:rsidR="00603F3F" w:rsidRPr="00FB6EB4" w:rsidRDefault="00603F3F" w:rsidP="00603F3F">
      <w:pPr>
        <w:widowControl w:val="0"/>
        <w:spacing w:after="0"/>
        <w:jc w:val="both"/>
        <w:rPr>
          <w:rFonts w:ascii="Times New Roman" w:hAnsi="Times New Roman"/>
          <w:color w:val="000000"/>
          <w:sz w:val="20"/>
          <w:szCs w:val="20"/>
          <w:lang w:eastAsia="it-IT"/>
        </w:rPr>
      </w:pPr>
      <w:r w:rsidRPr="00FB6EB4">
        <w:rPr>
          <w:rFonts w:ascii="Times New Roman" w:hAnsi="Times New Roman"/>
          <w:color w:val="000000"/>
          <w:sz w:val="20"/>
          <w:szCs w:val="20"/>
          <w:lang w:eastAsia="it-IT"/>
        </w:rPr>
        <w:t>L’ultima fase del progetto ha riguardato la stesura del PTPCT presentato al</w:t>
      </w:r>
      <w:r w:rsidR="00C25CA0">
        <w:rPr>
          <w:rFonts w:ascii="Times New Roman" w:hAnsi="Times New Roman"/>
          <w:color w:val="000000"/>
          <w:sz w:val="20"/>
          <w:szCs w:val="20"/>
          <w:lang w:eastAsia="it-IT"/>
        </w:rPr>
        <w:t xml:space="preserve">l’Amministratore </w:t>
      </w:r>
      <w:r w:rsidR="0089562B">
        <w:rPr>
          <w:rFonts w:ascii="Times New Roman" w:hAnsi="Times New Roman"/>
          <w:color w:val="000000"/>
          <w:sz w:val="20"/>
          <w:szCs w:val="20"/>
          <w:lang w:eastAsia="it-IT"/>
        </w:rPr>
        <w:t>Unico</w:t>
      </w:r>
      <w:r w:rsidR="00C25CA0">
        <w:rPr>
          <w:rFonts w:ascii="Times New Roman" w:hAnsi="Times New Roman"/>
          <w:color w:val="000000"/>
          <w:sz w:val="20"/>
          <w:szCs w:val="20"/>
          <w:lang w:eastAsia="it-IT"/>
        </w:rPr>
        <w:t xml:space="preserve"> </w:t>
      </w:r>
      <w:r w:rsidRPr="00FB6EB4">
        <w:rPr>
          <w:rFonts w:ascii="Times New Roman" w:hAnsi="Times New Roman"/>
          <w:color w:val="000000"/>
          <w:sz w:val="20"/>
          <w:szCs w:val="20"/>
          <w:lang w:eastAsia="it-IT"/>
        </w:rPr>
        <w:t>per l</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 xml:space="preserve">approvazione. </w:t>
      </w:r>
      <w:r w:rsidRPr="00FB6EB4">
        <w:rPr>
          <w:rFonts w:ascii="Times New Roman" w:hAnsi="Times New Roman"/>
          <w:sz w:val="20"/>
          <w:szCs w:val="20"/>
          <w:lang w:eastAsia="it-IT"/>
        </w:rPr>
        <w:t xml:space="preserve">Contestualmente all’approvazione del Piano si procederà ad aggiornare il più generale MOG (c.d. Esimente) ex </w:t>
      </w:r>
      <w:r>
        <w:rPr>
          <w:rFonts w:ascii="Times New Roman" w:hAnsi="Times New Roman"/>
          <w:sz w:val="20"/>
          <w:szCs w:val="20"/>
          <w:lang w:eastAsia="it-IT"/>
        </w:rPr>
        <w:t>D. Lgs</w:t>
      </w:r>
      <w:r w:rsidRPr="00FB6EB4">
        <w:rPr>
          <w:rFonts w:ascii="Times New Roman" w:hAnsi="Times New Roman"/>
          <w:sz w:val="20"/>
          <w:szCs w:val="20"/>
          <w:lang w:eastAsia="it-IT"/>
        </w:rPr>
        <w:t>. 231/2001, ivi incluso il Codice Etico e di Comportamento.</w:t>
      </w:r>
      <w:r>
        <w:rPr>
          <w:rFonts w:ascii="Times New Roman" w:hAnsi="Times New Roman"/>
          <w:sz w:val="20"/>
          <w:szCs w:val="20"/>
          <w:lang w:eastAsia="it-IT"/>
        </w:rPr>
        <w:t xml:space="preserve"> </w:t>
      </w:r>
      <w:r w:rsidRPr="00FB6EB4">
        <w:rPr>
          <w:rFonts w:ascii="Times New Roman" w:hAnsi="Times New Roman"/>
          <w:color w:val="000000"/>
          <w:sz w:val="20"/>
          <w:szCs w:val="20"/>
          <w:lang w:eastAsia="it-IT"/>
        </w:rPr>
        <w:t>Al fine di favorire la diffusione dei principi e delle regole contenute nel presente documento e la conoscenza delle misure di prevenzione che devono essere attuate nel corso delle attività d</w:t>
      </w:r>
      <w:r>
        <w:rPr>
          <w:rFonts w:ascii="Times New Roman" w:hAnsi="Times New Roman"/>
          <w:color w:val="000000"/>
          <w:sz w:val="20"/>
          <w:szCs w:val="20"/>
          <w:lang w:eastAsia="it-IT"/>
        </w:rPr>
        <w:t>ella società</w:t>
      </w:r>
      <w:r w:rsidRPr="00FB6EB4">
        <w:rPr>
          <w:rFonts w:ascii="Times New Roman" w:hAnsi="Times New Roman"/>
          <w:color w:val="000000"/>
          <w:sz w:val="20"/>
          <w:szCs w:val="20"/>
          <w:lang w:eastAsia="it-IT"/>
        </w:rPr>
        <w:t>, è prevista un</w:t>
      </w:r>
      <w:r>
        <w:rPr>
          <w:rFonts w:ascii="Times New Roman" w:hAnsi="Times New Roman"/>
          <w:color w:val="000000"/>
          <w:sz w:val="20"/>
          <w:szCs w:val="20"/>
          <w:lang w:eastAsia="it-IT"/>
        </w:rPr>
        <w:t>’</w:t>
      </w:r>
      <w:r w:rsidRPr="00FB6EB4">
        <w:rPr>
          <w:rFonts w:ascii="Times New Roman" w:hAnsi="Times New Roman"/>
          <w:color w:val="000000"/>
          <w:sz w:val="20"/>
          <w:szCs w:val="20"/>
          <w:lang w:eastAsia="it-IT"/>
        </w:rPr>
        <w:t>attività di informazione e comunicazione del Piano, descritta nei paragrafi successivi.</w:t>
      </w:r>
    </w:p>
    <w:p w14:paraId="3AD44504" w14:textId="77777777" w:rsidR="00603F3F" w:rsidRPr="00FB6EB4" w:rsidRDefault="00603F3F" w:rsidP="00603F3F">
      <w:pPr>
        <w:widowControl w:val="0"/>
        <w:spacing w:after="0"/>
        <w:jc w:val="both"/>
        <w:rPr>
          <w:rFonts w:ascii="Times New Roman" w:hAnsi="Times New Roman"/>
          <w:color w:val="000000"/>
          <w:sz w:val="20"/>
          <w:szCs w:val="20"/>
          <w:lang w:eastAsia="it-IT"/>
        </w:rPr>
      </w:pPr>
    </w:p>
    <w:p w14:paraId="7C687D52" w14:textId="77777777" w:rsidR="00603F3F" w:rsidRPr="008748AE" w:rsidRDefault="00603F3F" w:rsidP="00603F3F">
      <w:pPr>
        <w:pStyle w:val="Titolo4"/>
        <w:keepNext w:val="0"/>
        <w:widowControl w:val="0"/>
        <w:jc w:val="both"/>
        <w:rPr>
          <w:b/>
          <w:lang w:val="it-IT"/>
        </w:rPr>
      </w:pPr>
      <w:bookmarkStart w:id="312" w:name="_Toc535854420"/>
      <w:bookmarkStart w:id="313" w:name="_Toc473547389"/>
      <w:r w:rsidRPr="008748AE">
        <w:rPr>
          <w:b/>
          <w:lang w:val="it-IT"/>
        </w:rPr>
        <w:t xml:space="preserve">7.3.5. </w:t>
      </w:r>
      <w:r w:rsidRPr="008748AE">
        <w:rPr>
          <w:b/>
          <w:lang w:val="it-IT"/>
        </w:rPr>
        <w:tab/>
        <w:t>Entrata in vigore</w:t>
      </w:r>
      <w:bookmarkEnd w:id="312"/>
      <w:r w:rsidRPr="008748AE">
        <w:rPr>
          <w:b/>
          <w:lang w:val="it-IT"/>
        </w:rPr>
        <w:t xml:space="preserve"> </w:t>
      </w:r>
      <w:bookmarkEnd w:id="313"/>
    </w:p>
    <w:p w14:paraId="4F9CAEF2" w14:textId="0E42D73A"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Il PTPCT</w:t>
      </w:r>
      <w:r>
        <w:rPr>
          <w:rFonts w:ascii="Times New Roman" w:hAnsi="Times New Roman"/>
          <w:color w:val="000000"/>
          <w:sz w:val="20"/>
          <w:szCs w:val="20"/>
          <w:lang w:eastAsia="it-IT"/>
        </w:rPr>
        <w:t>, dopo l’approvazione da parte del</w:t>
      </w:r>
      <w:r w:rsidR="0089562B">
        <w:rPr>
          <w:rFonts w:ascii="Times New Roman" w:hAnsi="Times New Roman"/>
          <w:color w:val="000000"/>
          <w:sz w:val="20"/>
          <w:szCs w:val="20"/>
          <w:lang w:eastAsia="it-IT"/>
        </w:rPr>
        <w:t xml:space="preserve">l’Amministratore Unico </w:t>
      </w:r>
      <w:r>
        <w:rPr>
          <w:rFonts w:ascii="Times New Roman" w:hAnsi="Times New Roman"/>
          <w:color w:val="000000"/>
          <w:sz w:val="20"/>
          <w:szCs w:val="20"/>
          <w:lang w:eastAsia="it-IT"/>
        </w:rPr>
        <w:t xml:space="preserve">entra in vigore a seguito della sua pubblicazione nella sezione “società Trasparente” e nella intranet aziendale. </w:t>
      </w:r>
    </w:p>
    <w:p w14:paraId="48F05301"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bookmarkStart w:id="314" w:name="_Toc473547390"/>
    </w:p>
    <w:p w14:paraId="46AD2614" w14:textId="77777777" w:rsidR="00603F3F" w:rsidRPr="008748AE" w:rsidRDefault="00603F3F" w:rsidP="00603F3F">
      <w:pPr>
        <w:pStyle w:val="Titolo4"/>
        <w:keepNext w:val="0"/>
        <w:widowControl w:val="0"/>
        <w:jc w:val="both"/>
        <w:rPr>
          <w:b/>
          <w:lang w:val="it-IT"/>
        </w:rPr>
      </w:pPr>
      <w:bookmarkStart w:id="315" w:name="_Toc471969811"/>
      <w:bookmarkStart w:id="316" w:name="_Toc535854421"/>
      <w:r w:rsidRPr="008748AE">
        <w:rPr>
          <w:b/>
          <w:lang w:val="it-IT"/>
        </w:rPr>
        <w:t xml:space="preserve">7.3.6. </w:t>
      </w:r>
      <w:r w:rsidRPr="008748AE">
        <w:rPr>
          <w:b/>
          <w:lang w:val="it-IT"/>
        </w:rPr>
        <w:tab/>
        <w:t>Disciplina della procedura per l’aggiornamento del PTPCT.</w:t>
      </w:r>
      <w:bookmarkEnd w:id="314"/>
      <w:bookmarkEnd w:id="315"/>
      <w:bookmarkEnd w:id="316"/>
    </w:p>
    <w:p w14:paraId="0C92ECBA" w14:textId="6CAB9765"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Il PTPCT </w:t>
      </w:r>
      <w:r w:rsidRPr="00CD7FBE">
        <w:rPr>
          <w:rFonts w:ascii="Times New Roman" w:hAnsi="Times New Roman"/>
          <w:color w:val="000000"/>
          <w:sz w:val="20"/>
          <w:szCs w:val="20"/>
          <w:lang w:eastAsia="it-IT"/>
        </w:rPr>
        <w:t xml:space="preserve">sarà </w:t>
      </w:r>
      <w:r>
        <w:rPr>
          <w:rFonts w:ascii="Times New Roman" w:hAnsi="Times New Roman"/>
          <w:color w:val="000000"/>
          <w:sz w:val="20"/>
          <w:szCs w:val="20"/>
          <w:lang w:eastAsia="it-IT"/>
        </w:rPr>
        <w:t>approvato</w:t>
      </w:r>
      <w:r w:rsidRPr="00CD7FBE">
        <w:rPr>
          <w:rFonts w:ascii="Times New Roman" w:hAnsi="Times New Roman"/>
          <w:color w:val="000000"/>
          <w:sz w:val="20"/>
          <w:szCs w:val="20"/>
          <w:lang w:eastAsia="it-IT"/>
        </w:rPr>
        <w:t xml:space="preserve"> annualmente entro il 31 gennaio di ciascun anno, in ottemperanza a quanto previsto dall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art. 1, comma 8, della legge n. 190/2012</w:t>
      </w:r>
      <w:r w:rsidRPr="00CD7FBE">
        <w:rPr>
          <w:rStyle w:val="Rimandonotadichiusura"/>
          <w:rFonts w:ascii="Times New Roman" w:hAnsi="Times New Roman"/>
          <w:color w:val="000000"/>
          <w:sz w:val="20"/>
          <w:szCs w:val="20"/>
          <w:lang w:eastAsia="it-IT"/>
        </w:rPr>
        <w:endnoteReference w:id="28"/>
      </w:r>
      <w:r w:rsidRPr="00CD7FBE">
        <w:rPr>
          <w:rFonts w:ascii="Times New Roman" w:hAnsi="Times New Roman"/>
          <w:color w:val="000000"/>
          <w:sz w:val="20"/>
          <w:szCs w:val="20"/>
          <w:lang w:eastAsia="it-IT"/>
        </w:rPr>
        <w:t xml:space="preserve">. L’aggiornamento del PTPCT dovrà tenere conto dei seguenti fattori: </w:t>
      </w:r>
    </w:p>
    <w:p w14:paraId="0DDBE89E" w14:textId="77777777" w:rsidR="00816AE7" w:rsidRDefault="00816AE7" w:rsidP="00603F3F">
      <w:pPr>
        <w:widowControl w:val="0"/>
        <w:autoSpaceDE w:val="0"/>
        <w:autoSpaceDN w:val="0"/>
        <w:adjustRightInd w:val="0"/>
        <w:spacing w:after="0"/>
        <w:jc w:val="both"/>
        <w:rPr>
          <w:rFonts w:ascii="Times New Roman" w:hAnsi="Times New Roman"/>
          <w:color w:val="000000"/>
          <w:sz w:val="20"/>
          <w:szCs w:val="20"/>
          <w:lang w:eastAsia="it-IT"/>
        </w:rPr>
      </w:pPr>
    </w:p>
    <w:tbl>
      <w:tblPr>
        <w:tblStyle w:val="Grigliatabella"/>
        <w:tblW w:w="8789" w:type="dxa"/>
        <w:tblInd w:w="137" w:type="dxa"/>
        <w:shd w:val="clear" w:color="auto" w:fill="FBE4D5" w:themeFill="accent2" w:themeFillTint="33"/>
        <w:tblLook w:val="04A0" w:firstRow="1" w:lastRow="0" w:firstColumn="1" w:lastColumn="0" w:noHBand="0" w:noVBand="1"/>
      </w:tblPr>
      <w:tblGrid>
        <w:gridCol w:w="8789"/>
      </w:tblGrid>
      <w:tr w:rsidR="00B3432B" w14:paraId="33238A7A" w14:textId="77777777" w:rsidTr="00425DFB">
        <w:tc>
          <w:tcPr>
            <w:tcW w:w="8789" w:type="dxa"/>
            <w:shd w:val="clear" w:color="auto" w:fill="FBE4D5" w:themeFill="accent2" w:themeFillTint="33"/>
          </w:tcPr>
          <w:p w14:paraId="343D6A4B" w14:textId="10C1D032" w:rsidR="00B3432B" w:rsidRDefault="00B3432B" w:rsidP="00D941F0">
            <w:pPr>
              <w:widowControl w:val="0"/>
              <w:autoSpaceDE w:val="0"/>
              <w:autoSpaceDN w:val="0"/>
              <w:adjustRightInd w:val="0"/>
              <w:spacing w:after="0" w:line="240" w:lineRule="auto"/>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1) </w:t>
            </w:r>
            <w:r w:rsidRPr="00B3432B">
              <w:rPr>
                <w:rFonts w:ascii="Times New Roman" w:hAnsi="Times New Roman"/>
                <w:color w:val="000000"/>
                <w:sz w:val="18"/>
                <w:szCs w:val="18"/>
                <w:lang w:eastAsia="it-IT"/>
              </w:rPr>
              <w:t>l’eventuale mutamento o integrazione della disciplina normativa in materia di prevenzione della corruzione, del PNA e delle previsioni penali</w:t>
            </w:r>
          </w:p>
        </w:tc>
      </w:tr>
      <w:tr w:rsidR="00B3432B" w14:paraId="6A945477" w14:textId="77777777" w:rsidTr="00425DFB">
        <w:tc>
          <w:tcPr>
            <w:tcW w:w="8789" w:type="dxa"/>
            <w:shd w:val="clear" w:color="auto" w:fill="FBE4D5" w:themeFill="accent2" w:themeFillTint="33"/>
          </w:tcPr>
          <w:p w14:paraId="75842BE1" w14:textId="3A024822" w:rsidR="00B3432B" w:rsidRPr="00B3432B" w:rsidRDefault="00B3432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B3432B">
              <w:rPr>
                <w:rFonts w:ascii="Times New Roman" w:hAnsi="Times New Roman"/>
                <w:color w:val="000000"/>
                <w:sz w:val="18"/>
                <w:szCs w:val="18"/>
                <w:lang w:eastAsia="it-IT"/>
              </w:rPr>
              <w:t>2) le modifiche intervenute nelle misure predisposte dall’A.N.AC per preve</w:t>
            </w:r>
            <w:r>
              <w:rPr>
                <w:rFonts w:ascii="Times New Roman" w:hAnsi="Times New Roman"/>
                <w:color w:val="000000"/>
                <w:sz w:val="18"/>
                <w:szCs w:val="18"/>
                <w:lang w:eastAsia="it-IT"/>
              </w:rPr>
              <w:t>nire il rischio di corruzione</w:t>
            </w:r>
            <w:r w:rsidRPr="00B3432B">
              <w:rPr>
                <w:rFonts w:ascii="Times New Roman" w:hAnsi="Times New Roman"/>
                <w:color w:val="000000"/>
                <w:sz w:val="18"/>
                <w:szCs w:val="18"/>
                <w:lang w:eastAsia="it-IT"/>
              </w:rPr>
              <w:t xml:space="preserve"> </w:t>
            </w:r>
          </w:p>
        </w:tc>
      </w:tr>
      <w:tr w:rsidR="00B3432B" w14:paraId="643DD672" w14:textId="77777777" w:rsidTr="00425DFB">
        <w:tc>
          <w:tcPr>
            <w:tcW w:w="8789" w:type="dxa"/>
            <w:shd w:val="clear" w:color="auto" w:fill="FBE4D5" w:themeFill="accent2" w:themeFillTint="33"/>
          </w:tcPr>
          <w:p w14:paraId="577951A4" w14:textId="613CCF7A" w:rsidR="00B3432B" w:rsidRPr="00B3432B" w:rsidRDefault="00B3432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B3432B">
              <w:rPr>
                <w:rFonts w:ascii="Times New Roman" w:hAnsi="Times New Roman"/>
                <w:color w:val="000000"/>
                <w:sz w:val="18"/>
                <w:szCs w:val="18"/>
                <w:lang w:eastAsia="it-IT"/>
              </w:rPr>
              <w:t xml:space="preserve">3) i cambiamenti normativi e regolamentari che modificano le finalità istituzionali, le attribuzioni, l'attività o l’organizzazione della società; </w:t>
            </w:r>
          </w:p>
        </w:tc>
      </w:tr>
      <w:tr w:rsidR="00B3432B" w14:paraId="6CE71DAE" w14:textId="77777777" w:rsidTr="00425DFB">
        <w:tc>
          <w:tcPr>
            <w:tcW w:w="8789" w:type="dxa"/>
            <w:shd w:val="clear" w:color="auto" w:fill="FBE4D5" w:themeFill="accent2" w:themeFillTint="33"/>
          </w:tcPr>
          <w:p w14:paraId="3358B366" w14:textId="3AC7ABDC" w:rsidR="00B3432B" w:rsidRPr="00B3432B" w:rsidRDefault="00B3432B" w:rsidP="00B3432B">
            <w:pPr>
              <w:widowControl w:val="0"/>
              <w:autoSpaceDE w:val="0"/>
              <w:autoSpaceDN w:val="0"/>
              <w:adjustRightInd w:val="0"/>
              <w:spacing w:after="0"/>
              <w:ind w:left="284" w:hanging="284"/>
              <w:jc w:val="both"/>
              <w:rPr>
                <w:rFonts w:ascii="Times New Roman" w:hAnsi="Times New Roman"/>
                <w:color w:val="000000"/>
                <w:sz w:val="18"/>
                <w:szCs w:val="18"/>
                <w:lang w:eastAsia="it-IT"/>
              </w:rPr>
            </w:pPr>
            <w:r w:rsidRPr="00B3432B">
              <w:rPr>
                <w:rFonts w:ascii="Times New Roman" w:hAnsi="Times New Roman"/>
                <w:color w:val="000000"/>
                <w:sz w:val="18"/>
                <w:szCs w:val="18"/>
                <w:lang w:eastAsia="it-IT"/>
              </w:rPr>
              <w:t xml:space="preserve">4) l’emersione di nuovi fattori di rischio che non sono stati considerati in fase di predisposizione del PTPCT. </w:t>
            </w:r>
          </w:p>
        </w:tc>
      </w:tr>
    </w:tbl>
    <w:p w14:paraId="0F155602" w14:textId="77777777" w:rsidR="00B3432B" w:rsidRPr="00CD7FBE" w:rsidRDefault="00B3432B" w:rsidP="00603F3F">
      <w:pPr>
        <w:widowControl w:val="0"/>
        <w:autoSpaceDE w:val="0"/>
        <w:autoSpaceDN w:val="0"/>
        <w:adjustRightInd w:val="0"/>
        <w:spacing w:after="0"/>
        <w:jc w:val="both"/>
        <w:rPr>
          <w:rFonts w:ascii="Times New Roman" w:hAnsi="Times New Roman"/>
          <w:color w:val="000000"/>
          <w:sz w:val="20"/>
          <w:szCs w:val="20"/>
          <w:lang w:eastAsia="it-IT"/>
        </w:rPr>
      </w:pPr>
    </w:p>
    <w:p w14:paraId="43BB2B72" w14:textId="1BE61D34"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Ai fin</w:t>
      </w:r>
      <w:r w:rsidR="00425DFB">
        <w:rPr>
          <w:rFonts w:ascii="Times New Roman" w:hAnsi="Times New Roman"/>
          <w:color w:val="000000"/>
          <w:sz w:val="20"/>
          <w:szCs w:val="20"/>
          <w:lang w:eastAsia="it-IT"/>
        </w:rPr>
        <w:t xml:space="preserve">i dell’aggiornamento del Piano sì riporta di seguito la procedura in essere: </w:t>
      </w:r>
    </w:p>
    <w:p w14:paraId="0969E39F" w14:textId="77777777" w:rsidR="00425DFB" w:rsidRDefault="00425DFB" w:rsidP="00603F3F">
      <w:pPr>
        <w:widowControl w:val="0"/>
        <w:autoSpaceDE w:val="0"/>
        <w:autoSpaceDN w:val="0"/>
        <w:adjustRightInd w:val="0"/>
        <w:spacing w:after="0"/>
        <w:jc w:val="both"/>
        <w:rPr>
          <w:rFonts w:ascii="Times New Roman" w:hAnsi="Times New Roman"/>
          <w:color w:val="000000"/>
          <w:sz w:val="20"/>
          <w:szCs w:val="20"/>
          <w:lang w:eastAsia="it-IT"/>
        </w:rPr>
      </w:pPr>
    </w:p>
    <w:tbl>
      <w:tblPr>
        <w:tblStyle w:val="Grigliatabella"/>
        <w:tblW w:w="8789" w:type="dxa"/>
        <w:tblInd w:w="137" w:type="dxa"/>
        <w:shd w:val="clear" w:color="auto" w:fill="FBE4D5" w:themeFill="accent2" w:themeFillTint="33"/>
        <w:tblLook w:val="04A0" w:firstRow="1" w:lastRow="0" w:firstColumn="1" w:lastColumn="0" w:noHBand="0" w:noVBand="1"/>
      </w:tblPr>
      <w:tblGrid>
        <w:gridCol w:w="8789"/>
      </w:tblGrid>
      <w:tr w:rsidR="00425DFB" w14:paraId="018BDB9D" w14:textId="77777777" w:rsidTr="00D67AF3">
        <w:tc>
          <w:tcPr>
            <w:tcW w:w="8789" w:type="dxa"/>
            <w:shd w:val="clear" w:color="auto" w:fill="FBE4D5" w:themeFill="accent2" w:themeFillTint="33"/>
          </w:tcPr>
          <w:p w14:paraId="47DCED63" w14:textId="4E42734C"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iCs/>
                <w:sz w:val="18"/>
                <w:szCs w:val="18"/>
              </w:rPr>
            </w:pPr>
            <w:r w:rsidRPr="00425DFB">
              <w:rPr>
                <w:rFonts w:ascii="Times New Roman" w:hAnsi="Times New Roman"/>
                <w:color w:val="000000"/>
                <w:sz w:val="18"/>
                <w:szCs w:val="18"/>
                <w:lang w:eastAsia="it-IT"/>
              </w:rPr>
              <w:t xml:space="preserve">1) entro il </w:t>
            </w:r>
            <w:r w:rsidRPr="00425DFB">
              <w:rPr>
                <w:rFonts w:ascii="Times New Roman" w:hAnsi="Times New Roman"/>
                <w:b/>
                <w:color w:val="000000"/>
                <w:sz w:val="18"/>
                <w:szCs w:val="18"/>
                <w:lang w:eastAsia="it-IT"/>
              </w:rPr>
              <w:t>10 settembre</w:t>
            </w:r>
            <w:r w:rsidRPr="00425DFB">
              <w:rPr>
                <w:rFonts w:ascii="Times New Roman" w:hAnsi="Times New Roman"/>
                <w:iCs/>
                <w:sz w:val="18"/>
                <w:szCs w:val="18"/>
              </w:rPr>
              <w:t xml:space="preserve"> </w:t>
            </w:r>
            <w:r w:rsidRPr="00425DFB">
              <w:rPr>
                <w:rFonts w:ascii="Times New Roman" w:hAnsi="Times New Roman"/>
                <w:color w:val="000000"/>
                <w:sz w:val="18"/>
                <w:szCs w:val="18"/>
                <w:lang w:eastAsia="it-IT"/>
              </w:rPr>
              <w:t xml:space="preserve">l’AU </w:t>
            </w:r>
            <w:r w:rsidRPr="00425DFB">
              <w:rPr>
                <w:rFonts w:ascii="Times New Roman" w:hAnsi="Times New Roman"/>
                <w:iCs/>
                <w:sz w:val="18"/>
                <w:szCs w:val="18"/>
              </w:rPr>
              <w:t xml:space="preserve">approva gli </w:t>
            </w:r>
            <w:r w:rsidRPr="00425DFB">
              <w:rPr>
                <w:rFonts w:ascii="Times New Roman" w:hAnsi="Times New Roman"/>
                <w:bCs/>
                <w:sz w:val="18"/>
                <w:szCs w:val="18"/>
              </w:rPr>
              <w:t>obiettivi strategici in materia di prevenzione della corruzione e trasparenza”</w:t>
            </w:r>
            <w:r w:rsidRPr="00425DFB">
              <w:rPr>
                <w:rFonts w:ascii="Times New Roman" w:hAnsi="Times New Roman"/>
                <w:iCs/>
                <w:sz w:val="18"/>
                <w:szCs w:val="18"/>
              </w:rPr>
              <w:t xml:space="preserve">, che costituiscono contenuto necessario dei documenti di programmazione strategico-gestionale e del </w:t>
            </w:r>
            <w:r w:rsidRPr="00425DFB">
              <w:rPr>
                <w:rFonts w:ascii="Times New Roman" w:hAnsi="Times New Roman"/>
                <w:sz w:val="18"/>
                <w:szCs w:val="18"/>
              </w:rPr>
              <w:t>PTPCT</w:t>
            </w:r>
            <w:r w:rsidRPr="00425DFB">
              <w:rPr>
                <w:rFonts w:ascii="Times New Roman" w:hAnsi="Times New Roman"/>
                <w:iCs/>
                <w:sz w:val="18"/>
                <w:szCs w:val="18"/>
              </w:rPr>
              <w:t>;</w:t>
            </w:r>
          </w:p>
        </w:tc>
      </w:tr>
      <w:tr w:rsidR="00425DFB" w14:paraId="36911F2D" w14:textId="77777777" w:rsidTr="00D67AF3">
        <w:tc>
          <w:tcPr>
            <w:tcW w:w="8789" w:type="dxa"/>
            <w:shd w:val="clear" w:color="auto" w:fill="FBE4D5" w:themeFill="accent2" w:themeFillTint="33"/>
          </w:tcPr>
          <w:p w14:paraId="6D74D80B" w14:textId="7A50ADFC"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2) entro il </w:t>
            </w:r>
            <w:r w:rsidRPr="00425DFB">
              <w:rPr>
                <w:rFonts w:ascii="Times New Roman" w:hAnsi="Times New Roman"/>
                <w:b/>
                <w:color w:val="000000"/>
                <w:sz w:val="18"/>
                <w:szCs w:val="18"/>
                <w:lang w:eastAsia="it-IT"/>
              </w:rPr>
              <w:t>30 settembre</w:t>
            </w:r>
            <w:r w:rsidRPr="00425DFB" w:rsidDel="00DE184D">
              <w:rPr>
                <w:rFonts w:ascii="Times New Roman" w:hAnsi="Times New Roman"/>
                <w:color w:val="000000"/>
                <w:sz w:val="18"/>
                <w:szCs w:val="18"/>
                <w:lang w:eastAsia="it-IT"/>
              </w:rPr>
              <w:t xml:space="preserve"> </w:t>
            </w:r>
            <w:r w:rsidRPr="00425DFB">
              <w:rPr>
                <w:rFonts w:ascii="Times New Roman" w:hAnsi="Times New Roman"/>
                <w:color w:val="000000"/>
                <w:sz w:val="18"/>
                <w:szCs w:val="18"/>
                <w:lang w:eastAsia="it-IT"/>
              </w:rPr>
              <w:t>ciascun Responsabile trasmette al Direttore, in base alla ripartizione delle competenze, le proprie proposte relative all’individuazione dei processi per i quali è prefigurabile il rischio di corruzione, unitamente alle misure ritenute più idonee a prevenire l’insorgere dei relativi fenomeni;</w:t>
            </w:r>
          </w:p>
        </w:tc>
      </w:tr>
      <w:tr w:rsidR="00425DFB" w14:paraId="736BF694" w14:textId="77777777" w:rsidTr="00D67AF3">
        <w:tc>
          <w:tcPr>
            <w:tcW w:w="8789" w:type="dxa"/>
            <w:shd w:val="clear" w:color="auto" w:fill="FBE4D5" w:themeFill="accent2" w:themeFillTint="33"/>
          </w:tcPr>
          <w:p w14:paraId="7865C60E" w14:textId="37F8296B"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3) entro il </w:t>
            </w:r>
            <w:r w:rsidRPr="00425DFB">
              <w:rPr>
                <w:rFonts w:ascii="Times New Roman" w:hAnsi="Times New Roman"/>
                <w:b/>
                <w:color w:val="000000"/>
                <w:sz w:val="18"/>
                <w:szCs w:val="18"/>
                <w:lang w:eastAsia="it-IT"/>
              </w:rPr>
              <w:t>15 ottobre</w:t>
            </w:r>
            <w:r w:rsidRPr="00425DFB">
              <w:rPr>
                <w:rFonts w:ascii="Times New Roman" w:hAnsi="Times New Roman"/>
                <w:color w:val="000000"/>
                <w:sz w:val="18"/>
                <w:szCs w:val="18"/>
                <w:lang w:eastAsia="it-IT"/>
              </w:rPr>
              <w:t xml:space="preserve"> i Responsabili trasmettono le proprie proposte relative all’individuazione dei processi per i quali è prefigurabile il rischio di corruzione, unitamente alle misure ritenute più idonee a prevenire l’insorgere dei relativi fenomeni.</w:t>
            </w:r>
          </w:p>
        </w:tc>
      </w:tr>
      <w:tr w:rsidR="00425DFB" w14:paraId="09E7AA70" w14:textId="77777777" w:rsidTr="00D67AF3">
        <w:tc>
          <w:tcPr>
            <w:tcW w:w="8789" w:type="dxa"/>
            <w:shd w:val="clear" w:color="auto" w:fill="FBE4D5" w:themeFill="accent2" w:themeFillTint="33"/>
          </w:tcPr>
          <w:p w14:paraId="0FDF7066" w14:textId="42658F4E" w:rsidR="00425DFB" w:rsidRPr="00425DFB" w:rsidRDefault="00425DFB" w:rsidP="00D941F0">
            <w:pPr>
              <w:pStyle w:val="Paragrafoelenco"/>
              <w:widowControl w:val="0"/>
              <w:autoSpaceDE w:val="0"/>
              <w:autoSpaceDN w:val="0"/>
              <w:adjustRightInd w:val="0"/>
              <w:spacing w:after="0" w:line="240" w:lineRule="auto"/>
              <w:ind w:left="0"/>
              <w:contextualSpacing w:val="0"/>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4) entro il </w:t>
            </w:r>
            <w:r w:rsidRPr="00425DFB">
              <w:rPr>
                <w:rFonts w:ascii="Times New Roman" w:hAnsi="Times New Roman"/>
                <w:b/>
                <w:color w:val="000000"/>
                <w:sz w:val="18"/>
                <w:szCs w:val="18"/>
                <w:lang w:eastAsia="it-IT"/>
              </w:rPr>
              <w:t>31 dicembre</w:t>
            </w:r>
            <w:r w:rsidRPr="00425DFB">
              <w:rPr>
                <w:rFonts w:ascii="Times New Roman" w:hAnsi="Times New Roman"/>
                <w:color w:val="000000"/>
                <w:sz w:val="18"/>
                <w:szCs w:val="18"/>
                <w:lang w:eastAsia="it-IT"/>
              </w:rPr>
              <w:t xml:space="preserve"> il RPCT, sulla base delle proposte pervenute, trasmette all’AU l’aggiornamento del PTPCT ai fini dell’autorizzazione all’avvio della consultazione aperta, da effettuarsi mediante pubblicazione sul sito istituzionale del documento per una durata non inferiore a dieci giorni.</w:t>
            </w:r>
          </w:p>
        </w:tc>
      </w:tr>
      <w:tr w:rsidR="00425DFB" w14:paraId="4D31390A" w14:textId="77777777" w:rsidTr="00D67AF3">
        <w:tc>
          <w:tcPr>
            <w:tcW w:w="8789" w:type="dxa"/>
            <w:shd w:val="clear" w:color="auto" w:fill="FBE4D5" w:themeFill="accent2" w:themeFillTint="33"/>
          </w:tcPr>
          <w:p w14:paraId="1EC6D6F5" w14:textId="59CB64FB" w:rsidR="00425DFB" w:rsidRPr="00425DFB" w:rsidRDefault="00425DF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5) Entro il </w:t>
            </w:r>
            <w:r w:rsidRPr="00425DFB">
              <w:rPr>
                <w:rFonts w:ascii="Times New Roman" w:hAnsi="Times New Roman"/>
                <w:b/>
                <w:color w:val="000000"/>
                <w:sz w:val="18"/>
                <w:szCs w:val="18"/>
                <w:lang w:eastAsia="it-IT"/>
              </w:rPr>
              <w:t>15 gennaio</w:t>
            </w:r>
            <w:r w:rsidRPr="00425DFB">
              <w:rPr>
                <w:rFonts w:ascii="Times New Roman" w:hAnsi="Times New Roman"/>
                <w:color w:val="000000"/>
                <w:sz w:val="18"/>
                <w:szCs w:val="18"/>
                <w:lang w:eastAsia="it-IT"/>
              </w:rPr>
              <w:t xml:space="preserve"> il RPCT, terminata la fase di consultazione aperta, valutate le eventuali osservazioni ed i suggerimenti predispone la proposta definitiva di PTPCT e la trasmette all’AU per l’approvazione;</w:t>
            </w:r>
          </w:p>
        </w:tc>
      </w:tr>
      <w:tr w:rsidR="00425DFB" w14:paraId="48FEDFE6" w14:textId="77777777" w:rsidTr="00D67AF3">
        <w:tc>
          <w:tcPr>
            <w:tcW w:w="8789" w:type="dxa"/>
            <w:shd w:val="clear" w:color="auto" w:fill="FBE4D5" w:themeFill="accent2" w:themeFillTint="33"/>
          </w:tcPr>
          <w:p w14:paraId="56F325D2" w14:textId="6B544086" w:rsidR="00425DFB" w:rsidRPr="00425DFB" w:rsidRDefault="00425DFB" w:rsidP="00D941F0">
            <w:pPr>
              <w:widowControl w:val="0"/>
              <w:autoSpaceDE w:val="0"/>
              <w:autoSpaceDN w:val="0"/>
              <w:adjustRightInd w:val="0"/>
              <w:spacing w:after="0" w:line="240" w:lineRule="auto"/>
              <w:jc w:val="both"/>
              <w:rPr>
                <w:rFonts w:ascii="Times New Roman" w:hAnsi="Times New Roman"/>
                <w:color w:val="000000"/>
                <w:sz w:val="18"/>
                <w:szCs w:val="18"/>
                <w:lang w:eastAsia="it-IT"/>
              </w:rPr>
            </w:pPr>
            <w:r w:rsidRPr="00425DFB">
              <w:rPr>
                <w:rFonts w:ascii="Times New Roman" w:hAnsi="Times New Roman"/>
                <w:color w:val="000000"/>
                <w:sz w:val="18"/>
                <w:szCs w:val="18"/>
                <w:lang w:eastAsia="it-IT"/>
              </w:rPr>
              <w:t xml:space="preserve">6) entro il </w:t>
            </w:r>
            <w:r w:rsidRPr="00425DFB">
              <w:rPr>
                <w:rFonts w:ascii="Times New Roman" w:hAnsi="Times New Roman"/>
                <w:b/>
                <w:color w:val="000000"/>
                <w:sz w:val="18"/>
                <w:szCs w:val="18"/>
                <w:lang w:eastAsia="it-IT"/>
              </w:rPr>
              <w:t>31 gennaio</w:t>
            </w:r>
            <w:r w:rsidRPr="00425DFB">
              <w:rPr>
                <w:rFonts w:ascii="Times New Roman" w:hAnsi="Times New Roman"/>
                <w:color w:val="000000"/>
                <w:sz w:val="18"/>
                <w:szCs w:val="18"/>
                <w:lang w:eastAsia="it-IT"/>
              </w:rPr>
              <w:t xml:space="preserve"> l’AU, acquisito il parere dell’OdV, adotta la deliberazione recante l’aggiornamento del PTPCT. Detta deliberazione dà atto del regolare svolgimento della procedura.</w:t>
            </w:r>
          </w:p>
        </w:tc>
      </w:tr>
    </w:tbl>
    <w:p w14:paraId="0080D18B" w14:textId="77777777" w:rsidR="00425DFB" w:rsidRPr="00531BD0" w:rsidRDefault="00425DFB" w:rsidP="00603F3F">
      <w:pPr>
        <w:widowControl w:val="0"/>
        <w:autoSpaceDE w:val="0"/>
        <w:autoSpaceDN w:val="0"/>
        <w:adjustRightInd w:val="0"/>
        <w:spacing w:after="0"/>
        <w:jc w:val="both"/>
        <w:rPr>
          <w:rFonts w:ascii="Times New Roman" w:hAnsi="Times New Roman"/>
          <w:b/>
          <w:color w:val="000000"/>
          <w:sz w:val="20"/>
          <w:szCs w:val="20"/>
          <w:lang w:eastAsia="it-IT"/>
        </w:rPr>
      </w:pPr>
    </w:p>
    <w:p w14:paraId="66008A90" w14:textId="6001A4BA"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Come previsto dall'art. 1, comma 10, della legge n. 190/2012</w:t>
      </w:r>
      <w:r w:rsidRPr="00CD7FBE">
        <w:rPr>
          <w:rStyle w:val="Rimandonotadichiusura"/>
          <w:rFonts w:ascii="Times New Roman" w:hAnsi="Times New Roman"/>
          <w:color w:val="000000"/>
          <w:sz w:val="20"/>
          <w:szCs w:val="20"/>
          <w:lang w:eastAsia="it-IT"/>
        </w:rPr>
        <w:endnoteReference w:id="29"/>
      </w:r>
      <w:r w:rsidRPr="00CD7FBE">
        <w:rPr>
          <w:rFonts w:ascii="Times New Roman" w:hAnsi="Times New Roman"/>
          <w:color w:val="000000"/>
          <w:sz w:val="20"/>
          <w:szCs w:val="20"/>
          <w:lang w:eastAsia="it-IT"/>
        </w:rPr>
        <w:t xml:space="preserve">,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provvederà, inoltre, a proporre all’</w:t>
      </w:r>
      <w:r w:rsidR="008748AE">
        <w:rPr>
          <w:rFonts w:ascii="Times New Roman" w:hAnsi="Times New Roman"/>
          <w:color w:val="000000"/>
          <w:sz w:val="20"/>
          <w:szCs w:val="20"/>
          <w:lang w:eastAsia="it-IT"/>
        </w:rPr>
        <w:t>Amministratore Unico</w:t>
      </w:r>
      <w:r w:rsidR="00580F8F">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la modifica del Piano ogniqualvolta siano accertate </w:t>
      </w:r>
      <w:r w:rsidRPr="00CD7FBE">
        <w:rPr>
          <w:rFonts w:ascii="Times New Roman" w:hAnsi="Times New Roman"/>
          <w:sz w:val="20"/>
          <w:szCs w:val="20"/>
        </w:rPr>
        <w:t xml:space="preserve">significative violazioni delle prescrizioni in esso contenute. Il </w:t>
      </w:r>
      <w:r>
        <w:rPr>
          <w:rFonts w:ascii="Times New Roman" w:hAnsi="Times New Roman"/>
          <w:color w:val="000000"/>
          <w:sz w:val="20"/>
          <w:szCs w:val="20"/>
          <w:lang w:eastAsia="it-IT"/>
        </w:rPr>
        <w:t>RPCT</w:t>
      </w:r>
      <w:r w:rsidRPr="00CD7FBE">
        <w:rPr>
          <w:rFonts w:ascii="Times New Roman" w:hAnsi="Times New Roman"/>
          <w:sz w:val="20"/>
          <w:szCs w:val="20"/>
        </w:rPr>
        <w:t xml:space="preserve"> potrà, inoltre, proporre delle modifiche al presente documento qualora ritenga che delle circostanze esterne o interne alla società possano ridurre l</w:t>
      </w:r>
      <w:r>
        <w:rPr>
          <w:rFonts w:ascii="Times New Roman" w:hAnsi="Times New Roman"/>
          <w:sz w:val="20"/>
          <w:szCs w:val="20"/>
        </w:rPr>
        <w:t>’</w:t>
      </w:r>
      <w:r w:rsidRPr="00CD7FBE">
        <w:rPr>
          <w:rFonts w:ascii="Times New Roman" w:hAnsi="Times New Roman"/>
          <w:sz w:val="20"/>
          <w:szCs w:val="20"/>
        </w:rPr>
        <w:t>idoneità del Piano a prevenire il rischio di corruzione o limitarne la sua efficace attuazione.</w:t>
      </w:r>
      <w:r>
        <w:rPr>
          <w:rFonts w:ascii="Times New Roman" w:hAnsi="Times New Roman"/>
          <w:sz w:val="20"/>
          <w:szCs w:val="20"/>
        </w:rPr>
        <w:t xml:space="preserve"> </w:t>
      </w:r>
      <w:r w:rsidRPr="00CD7FBE">
        <w:rPr>
          <w:rFonts w:ascii="Times New Roman" w:hAnsi="Times New Roman"/>
          <w:color w:val="000000"/>
          <w:sz w:val="20"/>
          <w:szCs w:val="20"/>
          <w:lang w:eastAsia="it-IT"/>
        </w:rPr>
        <w:t xml:space="preserve">Il Piano può essere modificato anche </w:t>
      </w:r>
      <w:r>
        <w:rPr>
          <w:rFonts w:ascii="Times New Roman" w:hAnsi="Times New Roman"/>
          <w:color w:val="000000"/>
          <w:sz w:val="20"/>
          <w:szCs w:val="20"/>
          <w:lang w:eastAsia="it-IT"/>
        </w:rPr>
        <w:t>in</w:t>
      </w:r>
      <w:r w:rsidRPr="00CD7FBE">
        <w:rPr>
          <w:rFonts w:ascii="Times New Roman" w:hAnsi="Times New Roman"/>
          <w:color w:val="000000"/>
          <w:sz w:val="20"/>
          <w:szCs w:val="20"/>
          <w:lang w:eastAsia="it-IT"/>
        </w:rPr>
        <w:t xml:space="preserve"> corso d</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anno, su proposta del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allorché siano state accertate significative violazioni delle norme in materia di anticorruzione ed in tutti casi in cui, a seguito di incontri informativi annuali sull’aggiornamento del Piano medesimo, dovessero emergere esigenze di integrazione.</w:t>
      </w:r>
    </w:p>
    <w:p w14:paraId="3DD0A249"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E27556F" w14:textId="7F8B019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Come espressamente richiesto dal P.N.A., il Piano, una volta adottato, dovrà essere ampiamente pubblicizzato sia all’esterno sia all’interno dell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Oltre alla sua pubblicazione sul sito WEB dell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 attraverso i canali di cui la stessa dispone per la comunicazione istituzionale e per l’informazione, sarà data tempestiva notizia ai mezzi di informazione dei principali contenuti e degli elementi di novità del Piano.</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tramite </w:t>
      </w:r>
      <w:r w:rsidR="00C34ADE">
        <w:rPr>
          <w:rFonts w:ascii="Times New Roman" w:hAnsi="Times New Roman"/>
          <w:color w:val="000000"/>
          <w:sz w:val="20"/>
          <w:szCs w:val="20"/>
          <w:lang w:eastAsia="it-IT"/>
        </w:rPr>
        <w:t>il Settore Amministrativo</w:t>
      </w:r>
      <w:r w:rsidRPr="00CD7FBE">
        <w:rPr>
          <w:rFonts w:ascii="Times New Roman" w:hAnsi="Times New Roman"/>
          <w:color w:val="000000"/>
          <w:sz w:val="20"/>
          <w:szCs w:val="20"/>
          <w:lang w:eastAsia="it-IT"/>
        </w:rPr>
        <w:t>, provvede a trasmettere il link di collegamento al Piano via e</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mail a tutti i dipendenti, illustrandone con una nota di presentazione gli aspetti salienti ed evidenziando i doveri e le responsabilità che da esso discendono nei confronti di tutti i soggetti che operano presso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w:t>
      </w:r>
    </w:p>
    <w:p w14:paraId="137B4C79"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7C31716E" w14:textId="77777777" w:rsidR="00603F3F" w:rsidRPr="00DE2FB7" w:rsidRDefault="00603F3F" w:rsidP="00603F3F">
      <w:pPr>
        <w:pStyle w:val="Titolo2"/>
        <w:keepNext w:val="0"/>
        <w:spacing w:line="276" w:lineRule="auto"/>
        <w:ind w:left="426" w:hanging="426"/>
        <w:rPr>
          <w:color w:val="0070C0"/>
        </w:rPr>
      </w:pPr>
      <w:bookmarkStart w:id="317" w:name="_Toc473547391"/>
      <w:bookmarkStart w:id="318" w:name="_Toc535854422"/>
      <w:r w:rsidRPr="00DE2FB7">
        <w:rPr>
          <w:color w:val="0070C0"/>
        </w:rPr>
        <w:t>Le misure di trasparenza: il collegamento con il D. Lgs. 33/2013</w:t>
      </w:r>
      <w:bookmarkEnd w:id="317"/>
      <w:bookmarkEnd w:id="318"/>
    </w:p>
    <w:p w14:paraId="1645EA83" w14:textId="0F6F22B2"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società</w:t>
      </w:r>
      <w:r w:rsidRPr="00CD7FBE">
        <w:rPr>
          <w:rFonts w:ascii="Times New Roman" w:hAnsi="Times New Roman"/>
          <w:color w:val="000000"/>
          <w:sz w:val="20"/>
          <w:szCs w:val="20"/>
          <w:lang w:eastAsia="it-IT"/>
        </w:rPr>
        <w:t xml:space="preserve"> ha recepito (per quanto previsto per </w:t>
      </w:r>
      <w:r>
        <w:rPr>
          <w:rFonts w:ascii="Times New Roman" w:hAnsi="Times New Roman"/>
          <w:color w:val="000000"/>
          <w:sz w:val="20"/>
          <w:szCs w:val="20"/>
          <w:lang w:eastAsia="it-IT"/>
        </w:rPr>
        <w:t xml:space="preserve">le società </w:t>
      </w:r>
      <w:r w:rsidRPr="00F9148B">
        <w:rPr>
          <w:rFonts w:ascii="Times New Roman" w:hAnsi="Times New Roman"/>
          <w:i/>
          <w:color w:val="000000"/>
          <w:sz w:val="20"/>
          <w:szCs w:val="20"/>
          <w:lang w:eastAsia="it-IT"/>
        </w:rPr>
        <w:t>in house providing</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 le disposizioni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33/2013</w:t>
      </w:r>
      <w:r w:rsidRPr="00CD7FBE">
        <w:rPr>
          <w:rFonts w:ascii="Times New Roman" w:hAnsi="Times New Roman"/>
          <w:sz w:val="20"/>
          <w:szCs w:val="20"/>
        </w:rPr>
        <w:t xml:space="preserve"> così come modificato dal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25 maggio 2016, n. 97</w:t>
      </w:r>
      <w:r>
        <w:rPr>
          <w:rFonts w:ascii="Times New Roman" w:hAnsi="Times New Roman"/>
          <w:color w:val="000000"/>
          <w:sz w:val="20"/>
          <w:szCs w:val="20"/>
          <w:lang w:eastAsia="it-IT"/>
        </w:rPr>
        <w:t xml:space="preserve"> e ss.mm.</w:t>
      </w:r>
      <w:r w:rsidRPr="00CD7FBE">
        <w:rPr>
          <w:rFonts w:ascii="Times New Roman" w:hAnsi="Times New Roman"/>
          <w:color w:val="000000"/>
          <w:sz w:val="20"/>
          <w:szCs w:val="20"/>
          <w:lang w:eastAsia="it-IT"/>
        </w:rPr>
        <w:t xml:space="preserve"> </w:t>
      </w:r>
      <w:r w:rsidRPr="00CD7FBE">
        <w:rPr>
          <w:rFonts w:ascii="Times New Roman" w:hAnsi="Times New Roman"/>
          <w:sz w:val="20"/>
          <w:szCs w:val="20"/>
          <w:lang w:eastAsia="it-IT"/>
        </w:rPr>
        <w:t xml:space="preserve">e le Delibere e gli orientamenti dell’A.N.AC. in tema di trasparenza. </w:t>
      </w:r>
      <w:r w:rsidRPr="00CD7FBE">
        <w:rPr>
          <w:rFonts w:ascii="Times New Roman" w:hAnsi="Times New Roman"/>
          <w:color w:val="000000"/>
          <w:sz w:val="20"/>
          <w:szCs w:val="20"/>
          <w:lang w:eastAsia="it-IT"/>
        </w:rPr>
        <w:t xml:space="preserve">L’attuazione delle disposizioni in materia di trasparenza è demandata al </w:t>
      </w:r>
      <w:r>
        <w:rPr>
          <w:rFonts w:ascii="Times New Roman" w:hAnsi="Times New Roman"/>
          <w:color w:val="000000"/>
          <w:sz w:val="20"/>
          <w:szCs w:val="20"/>
          <w:lang w:eastAsia="it-IT"/>
        </w:rPr>
        <w:t>RPCT.</w:t>
      </w:r>
    </w:p>
    <w:p w14:paraId="757A1D2B" w14:textId="77777777" w:rsidR="00603F3F" w:rsidRDefault="00603F3F" w:rsidP="00603F3F">
      <w:pPr>
        <w:widowControl w:val="0"/>
        <w:spacing w:after="0"/>
        <w:jc w:val="both"/>
        <w:rPr>
          <w:rFonts w:ascii="Times New Roman" w:hAnsi="Times New Roman"/>
          <w:color w:val="000000"/>
          <w:sz w:val="20"/>
          <w:szCs w:val="20"/>
          <w:lang w:eastAsia="it-IT"/>
        </w:rPr>
      </w:pPr>
    </w:p>
    <w:p w14:paraId="68BDFAD2" w14:textId="77777777" w:rsidR="00603F3F" w:rsidRPr="00DE2FB7" w:rsidRDefault="00603F3F" w:rsidP="00603F3F">
      <w:pPr>
        <w:pStyle w:val="Titolo2"/>
        <w:keepNext w:val="0"/>
        <w:spacing w:line="276" w:lineRule="auto"/>
        <w:ind w:left="426" w:hanging="426"/>
        <w:rPr>
          <w:color w:val="0070C0"/>
        </w:rPr>
      </w:pPr>
      <w:bookmarkStart w:id="319" w:name="_Toc497502640"/>
      <w:bookmarkStart w:id="320" w:name="_Toc535854423"/>
      <w:r w:rsidRPr="00DE2FB7">
        <w:rPr>
          <w:color w:val="0070C0"/>
        </w:rPr>
        <w:t>Le misure in materia di Controlli, Gestione dei Rischi e Certificazioni</w:t>
      </w:r>
      <w:bookmarkEnd w:id="319"/>
      <w:bookmarkEnd w:id="320"/>
    </w:p>
    <w:p w14:paraId="5C07639C" w14:textId="76AED47B" w:rsidR="00603F3F" w:rsidRDefault="00603F3F" w:rsidP="00603F3F">
      <w:pPr>
        <w:widowControl w:val="0"/>
        <w:spacing w:after="0"/>
        <w:jc w:val="both"/>
        <w:rPr>
          <w:rFonts w:ascii="Times New Roman" w:hAnsi="Times New Roman"/>
          <w:sz w:val="20"/>
          <w:szCs w:val="20"/>
          <w:lang w:eastAsia="it-IT"/>
        </w:rPr>
      </w:pPr>
      <w:r w:rsidRPr="0080666F">
        <w:rPr>
          <w:rFonts w:ascii="Times New Roman" w:hAnsi="Times New Roman"/>
          <w:sz w:val="20"/>
        </w:rPr>
        <w:t>L</w:t>
      </w:r>
      <w:r>
        <w:rPr>
          <w:rFonts w:ascii="Times New Roman" w:hAnsi="Times New Roman"/>
          <w:sz w:val="20"/>
        </w:rPr>
        <w:t>a società</w:t>
      </w:r>
      <w:r w:rsidRPr="00B72862">
        <w:rPr>
          <w:rFonts w:ascii="Times New Roman" w:hAnsi="Times New Roman"/>
          <w:sz w:val="20"/>
          <w:szCs w:val="20"/>
          <w:lang w:eastAsia="it-IT"/>
        </w:rPr>
        <w:t>, nel perseguimento degli obiettivi societari e in ottemperanza a quanto disciplinato in materia di controllo analogo, avvierà una serie di misure ed interventi</w:t>
      </w:r>
      <w:r w:rsidRPr="0080666F">
        <w:rPr>
          <w:rFonts w:ascii="Times New Roman" w:hAnsi="Times New Roman"/>
          <w:sz w:val="20"/>
        </w:rPr>
        <w:t xml:space="preserve"> per </w:t>
      </w:r>
      <w:r w:rsidRPr="00B72862">
        <w:rPr>
          <w:rFonts w:ascii="Times New Roman" w:hAnsi="Times New Roman"/>
          <w:sz w:val="20"/>
          <w:szCs w:val="20"/>
          <w:lang w:eastAsia="it-IT"/>
        </w:rPr>
        <w:t>implementare un sistema integrato di controlli interni e di prevenzione di rischi aziendali (regolamenti, procedure e certificazioni) in materia di regolamenti e certificazioni.</w:t>
      </w:r>
      <w:r>
        <w:rPr>
          <w:rFonts w:ascii="Times New Roman" w:hAnsi="Times New Roman"/>
          <w:sz w:val="20"/>
          <w:szCs w:val="20"/>
          <w:lang w:eastAsia="it-IT"/>
        </w:rPr>
        <w:t xml:space="preserve"> </w:t>
      </w:r>
      <w:r w:rsidRPr="00B72862">
        <w:rPr>
          <w:rFonts w:ascii="Times New Roman" w:hAnsi="Times New Roman"/>
          <w:sz w:val="20"/>
          <w:szCs w:val="20"/>
          <w:lang w:eastAsia="it-IT"/>
        </w:rPr>
        <w:t xml:space="preserve">In particolare, sono previste </w:t>
      </w:r>
      <w:r>
        <w:rPr>
          <w:rFonts w:ascii="Times New Roman" w:hAnsi="Times New Roman"/>
          <w:sz w:val="20"/>
          <w:szCs w:val="20"/>
          <w:lang w:eastAsia="it-IT"/>
        </w:rPr>
        <w:t>le seguenti misure in materia di controlli, gestione dei rischi e certificazioni:</w:t>
      </w:r>
    </w:p>
    <w:p w14:paraId="3805BEAE" w14:textId="743115BB"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Potenziare il livello di integrazione tra il Modello di Organizzazione, Gestione e Controllo (MOG) 231 e il Piano Triennale per la Prevenzione della Corruzione e della Trasparenza;</w:t>
      </w:r>
    </w:p>
    <w:p w14:paraId="1A1B9E4C" w14:textId="76FBA734"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Implementare il Sistema integrato dei controlli interni e Piano di audit aziendale;</w:t>
      </w:r>
    </w:p>
    <w:p w14:paraId="2F4A6516" w14:textId="3C80E165"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Semplificare il testo dei Regolamenti interni;</w:t>
      </w:r>
    </w:p>
    <w:p w14:paraId="3753B87B" w14:textId="28CA14C5"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Migliorare la mappatura dei processi e la valutazione dei rischi;</w:t>
      </w:r>
    </w:p>
    <w:p w14:paraId="6B8B96AA" w14:textId="0C623EB2"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Adeguare Codice etico, Codice di comportamento e Codice sanzionatorio;</w:t>
      </w:r>
    </w:p>
    <w:p w14:paraId="300BEA1D" w14:textId="3E26B50C"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Adeguare il Sistema delle performance e il Piano degli obiettivi alle nuove disposizioni normative;</w:t>
      </w:r>
    </w:p>
    <w:p w14:paraId="6DFC6B18" w14:textId="1A6623E1"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Implementare il Sistema integrato di pianificazione e controllo;</w:t>
      </w:r>
    </w:p>
    <w:p w14:paraId="5B7B3B63" w14:textId="7B7F4875"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Potenziare il processo di informatizzazione, digitalizzazione e trasparenza;</w:t>
      </w:r>
    </w:p>
    <w:p w14:paraId="5D0BAADC" w14:textId="15DBFEBD" w:rsidR="00603F3F" w:rsidRPr="00BE465B" w:rsidRDefault="00603F3F" w:rsidP="003E3269">
      <w:pPr>
        <w:pStyle w:val="Paragrafoelenco"/>
        <w:widowControl w:val="0"/>
        <w:numPr>
          <w:ilvl w:val="0"/>
          <w:numId w:val="42"/>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Potenziare e ampliare il sistema di certificazioni aziendali (BS OHSAS 18001; UNI EN ISO 27001; UNI EN ISO 37001.</w:t>
      </w:r>
    </w:p>
    <w:p w14:paraId="5A081FB1" w14:textId="77777777" w:rsidR="00603F3F" w:rsidRPr="00B72862" w:rsidRDefault="00603F3F" w:rsidP="00603F3F">
      <w:pPr>
        <w:widowControl w:val="0"/>
        <w:spacing w:after="0"/>
        <w:jc w:val="both"/>
        <w:rPr>
          <w:rFonts w:ascii="Times New Roman" w:hAnsi="Times New Roman"/>
          <w:sz w:val="20"/>
          <w:szCs w:val="20"/>
          <w:lang w:eastAsia="it-IT"/>
        </w:rPr>
      </w:pPr>
    </w:p>
    <w:p w14:paraId="6E7AF5B6" w14:textId="77777777" w:rsidR="00603F3F" w:rsidRPr="006615B7" w:rsidRDefault="00603F3F" w:rsidP="003E3269">
      <w:pPr>
        <w:pStyle w:val="Titolo3"/>
        <w:keepNext w:val="0"/>
        <w:widowControl w:val="0"/>
        <w:numPr>
          <w:ilvl w:val="1"/>
          <w:numId w:val="31"/>
        </w:numPr>
        <w:spacing w:line="276" w:lineRule="auto"/>
        <w:ind w:left="426" w:hanging="426"/>
        <w:contextualSpacing w:val="0"/>
      </w:pPr>
      <w:bookmarkStart w:id="321" w:name="_Toc497502641"/>
      <w:bookmarkStart w:id="322" w:name="_Toc535854424"/>
      <w:r w:rsidRPr="006615B7">
        <w:t>Il Sistema Integrato dei Controlli Interni</w:t>
      </w:r>
      <w:bookmarkEnd w:id="321"/>
      <w:bookmarkEnd w:id="322"/>
      <w:r w:rsidRPr="006615B7">
        <w:t xml:space="preserve"> </w:t>
      </w:r>
    </w:p>
    <w:p w14:paraId="7E3139C1" w14:textId="024C3963" w:rsidR="00603F3F" w:rsidRPr="00B72862"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La società</w:t>
      </w:r>
      <w:r w:rsidRPr="00B72862">
        <w:rPr>
          <w:rFonts w:ascii="Times New Roman" w:hAnsi="Times New Roman"/>
          <w:sz w:val="20"/>
          <w:szCs w:val="20"/>
          <w:lang w:eastAsia="it-IT"/>
        </w:rPr>
        <w:t xml:space="preserve">, inoltre, </w:t>
      </w:r>
      <w:r>
        <w:rPr>
          <w:rFonts w:ascii="Times New Roman" w:hAnsi="Times New Roman"/>
          <w:sz w:val="20"/>
          <w:szCs w:val="20"/>
          <w:lang w:eastAsia="it-IT"/>
        </w:rPr>
        <w:t>implementerà</w:t>
      </w:r>
      <w:r w:rsidRPr="00B72862">
        <w:rPr>
          <w:rFonts w:ascii="Times New Roman" w:hAnsi="Times New Roman"/>
          <w:sz w:val="20"/>
          <w:szCs w:val="20"/>
          <w:lang w:eastAsia="it-IT"/>
        </w:rPr>
        <w:t xml:space="preserve"> nel triennio </w:t>
      </w:r>
      <w:r>
        <w:rPr>
          <w:rFonts w:ascii="Times New Roman" w:hAnsi="Times New Roman"/>
          <w:sz w:val="20"/>
          <w:szCs w:val="20"/>
          <w:lang w:eastAsia="it-IT"/>
        </w:rPr>
        <w:t xml:space="preserve">il </w:t>
      </w:r>
      <w:r w:rsidRPr="00B72862">
        <w:rPr>
          <w:rFonts w:ascii="Times New Roman" w:hAnsi="Times New Roman"/>
          <w:sz w:val="20"/>
          <w:szCs w:val="20"/>
          <w:lang w:eastAsia="it-IT"/>
        </w:rPr>
        <w:t>sistema integrato dei controlli interni, basato su quattro dimensioni principali:</w:t>
      </w:r>
    </w:p>
    <w:p w14:paraId="6107950D" w14:textId="77777777" w:rsidR="00BE465B" w:rsidRPr="00BE465B" w:rsidRDefault="00603F3F" w:rsidP="00BE465B">
      <w:pPr>
        <w:pStyle w:val="Paragrafoelenco"/>
        <w:widowControl w:val="0"/>
        <w:numPr>
          <w:ilvl w:val="0"/>
          <w:numId w:val="50"/>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controllo di regolarità amministrativo-contabile (garanzia della regolarità e correttezza dell’azione amministrativa);</w:t>
      </w:r>
    </w:p>
    <w:p w14:paraId="0E3A6014" w14:textId="77777777" w:rsidR="00BE465B" w:rsidRPr="00BE465B" w:rsidRDefault="00603F3F" w:rsidP="00BE465B">
      <w:pPr>
        <w:pStyle w:val="Paragrafoelenco"/>
        <w:widowControl w:val="0"/>
        <w:numPr>
          <w:ilvl w:val="0"/>
          <w:numId w:val="50"/>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 xml:space="preserve">valutazione delle prestazioni </w:t>
      </w:r>
      <w:r w:rsidR="00147F92" w:rsidRPr="00BE465B">
        <w:rPr>
          <w:rFonts w:ascii="Times New Roman" w:hAnsi="Times New Roman"/>
          <w:i/>
          <w:sz w:val="20"/>
          <w:szCs w:val="20"/>
          <w:lang w:eastAsia="it-IT"/>
        </w:rPr>
        <w:t>del Direttore</w:t>
      </w:r>
      <w:r w:rsidRPr="00BE465B">
        <w:rPr>
          <w:rFonts w:ascii="Times New Roman" w:hAnsi="Times New Roman"/>
          <w:i/>
          <w:sz w:val="20"/>
          <w:szCs w:val="20"/>
          <w:lang w:eastAsia="it-IT"/>
        </w:rPr>
        <w:t xml:space="preserve">, </w:t>
      </w:r>
      <w:r w:rsidR="00DE2FB7" w:rsidRPr="00BE465B">
        <w:rPr>
          <w:rFonts w:ascii="Times New Roman" w:hAnsi="Times New Roman"/>
          <w:i/>
          <w:sz w:val="20"/>
          <w:szCs w:val="20"/>
          <w:lang w:eastAsia="it-IT"/>
        </w:rPr>
        <w:t>Responsabili</w:t>
      </w:r>
      <w:r w:rsidRPr="00BE465B">
        <w:rPr>
          <w:rFonts w:ascii="Times New Roman" w:hAnsi="Times New Roman"/>
          <w:i/>
          <w:sz w:val="20"/>
          <w:szCs w:val="20"/>
          <w:lang w:eastAsia="it-IT"/>
        </w:rPr>
        <w:t xml:space="preserve"> e Dipendenti;</w:t>
      </w:r>
    </w:p>
    <w:p w14:paraId="1E8C7A54" w14:textId="77777777" w:rsidR="00BE465B" w:rsidRPr="00BE465B" w:rsidRDefault="00603F3F" w:rsidP="00BE465B">
      <w:pPr>
        <w:pStyle w:val="Paragrafoelenco"/>
        <w:widowControl w:val="0"/>
        <w:numPr>
          <w:ilvl w:val="0"/>
          <w:numId w:val="50"/>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controllo di Gestione (verifica dell’efficacia, efficienza ed economicità dell’azione amministrativa sulla base del rapporto tra costi e risultati raggiunti);</w:t>
      </w:r>
    </w:p>
    <w:p w14:paraId="2C6FB0F2" w14:textId="2185A15F" w:rsidR="00603F3F" w:rsidRPr="00BE465B" w:rsidRDefault="00603F3F" w:rsidP="00BE465B">
      <w:pPr>
        <w:pStyle w:val="Paragrafoelenco"/>
        <w:widowControl w:val="0"/>
        <w:numPr>
          <w:ilvl w:val="0"/>
          <w:numId w:val="50"/>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valutazione e Controllo Strategico (verifica della congruenza tra gli obiettivi fissati dai piani e programmi dell’organo politico e i risultati raggiunti).</w:t>
      </w:r>
    </w:p>
    <w:p w14:paraId="40259848" w14:textId="2EE61801" w:rsidR="00603F3F" w:rsidRDefault="00603F3F" w:rsidP="00603F3F">
      <w:pPr>
        <w:widowControl w:val="0"/>
        <w:spacing w:after="0"/>
        <w:jc w:val="both"/>
        <w:rPr>
          <w:rFonts w:ascii="Times New Roman" w:hAnsi="Times New Roman"/>
          <w:sz w:val="20"/>
          <w:szCs w:val="20"/>
          <w:lang w:eastAsia="it-IT"/>
        </w:rPr>
      </w:pPr>
    </w:p>
    <w:p w14:paraId="24B64576" w14:textId="7B9895CA" w:rsidR="00603F3F" w:rsidRDefault="00603F3F" w:rsidP="00603F3F">
      <w:pPr>
        <w:widowControl w:val="0"/>
        <w:spacing w:after="0"/>
        <w:jc w:val="both"/>
        <w:rPr>
          <w:rFonts w:ascii="Times New Roman" w:hAnsi="Times New Roman"/>
          <w:sz w:val="20"/>
          <w:szCs w:val="20"/>
          <w:lang w:eastAsia="it-IT"/>
        </w:rPr>
      </w:pPr>
      <w:r w:rsidRPr="00B72862">
        <w:rPr>
          <w:rFonts w:ascii="Times New Roman" w:hAnsi="Times New Roman"/>
          <w:sz w:val="20"/>
          <w:szCs w:val="20"/>
          <w:lang w:eastAsia="it-IT"/>
        </w:rPr>
        <w:t>L’obiettivo principale del modello è di passare dalla cultura del “</w:t>
      </w:r>
      <w:r w:rsidRPr="00B72862">
        <w:rPr>
          <w:rFonts w:ascii="Times New Roman" w:hAnsi="Times New Roman"/>
          <w:b/>
          <w:sz w:val="20"/>
          <w:szCs w:val="20"/>
          <w:lang w:eastAsia="it-IT"/>
        </w:rPr>
        <w:t>controllo</w:t>
      </w:r>
      <w:r w:rsidRPr="00B72862">
        <w:rPr>
          <w:rFonts w:ascii="Times New Roman" w:hAnsi="Times New Roman"/>
          <w:sz w:val="20"/>
          <w:szCs w:val="20"/>
          <w:lang w:eastAsia="it-IT"/>
        </w:rPr>
        <w:t>” a quella del “</w:t>
      </w:r>
      <w:r w:rsidRPr="00B72862">
        <w:rPr>
          <w:rFonts w:ascii="Times New Roman" w:hAnsi="Times New Roman"/>
          <w:b/>
          <w:sz w:val="20"/>
          <w:szCs w:val="20"/>
          <w:lang w:eastAsia="it-IT"/>
        </w:rPr>
        <w:t>governo</w:t>
      </w:r>
      <w:r w:rsidRPr="00B72862">
        <w:rPr>
          <w:rFonts w:ascii="Times New Roman" w:hAnsi="Times New Roman"/>
          <w:sz w:val="20"/>
          <w:szCs w:val="20"/>
          <w:lang w:eastAsia="it-IT"/>
        </w:rPr>
        <w:t>” della gestione.</w:t>
      </w:r>
      <w:r>
        <w:rPr>
          <w:rFonts w:ascii="Times New Roman" w:hAnsi="Times New Roman"/>
          <w:sz w:val="20"/>
          <w:szCs w:val="20"/>
          <w:lang w:eastAsia="it-IT"/>
        </w:rPr>
        <w:t xml:space="preserve"> </w:t>
      </w:r>
      <w:r w:rsidRPr="00B72862">
        <w:rPr>
          <w:rFonts w:ascii="Times New Roman" w:hAnsi="Times New Roman"/>
          <w:sz w:val="20"/>
          <w:szCs w:val="20"/>
          <w:lang w:eastAsia="it-IT"/>
        </w:rPr>
        <w:t xml:space="preserve">Pertanto, attraverso questo sistema, la </w:t>
      </w:r>
      <w:r>
        <w:rPr>
          <w:rFonts w:ascii="Times New Roman" w:hAnsi="Times New Roman"/>
          <w:sz w:val="20"/>
          <w:szCs w:val="20"/>
          <w:lang w:eastAsia="it-IT"/>
        </w:rPr>
        <w:t>società</w:t>
      </w:r>
      <w:r w:rsidRPr="00B72862">
        <w:rPr>
          <w:rFonts w:ascii="Times New Roman" w:hAnsi="Times New Roman"/>
          <w:sz w:val="20"/>
          <w:szCs w:val="20"/>
          <w:lang w:eastAsia="it-IT"/>
        </w:rPr>
        <w:t xml:space="preserve"> riuscirà a raggiugere </w:t>
      </w:r>
      <w:r>
        <w:rPr>
          <w:rFonts w:ascii="Times New Roman" w:hAnsi="Times New Roman"/>
          <w:sz w:val="20"/>
          <w:szCs w:val="20"/>
          <w:lang w:eastAsia="it-IT"/>
        </w:rPr>
        <w:t>un sistema di controlli interni integrato:</w:t>
      </w:r>
    </w:p>
    <w:p w14:paraId="14B19E6E" w14:textId="1E5CB6BD" w:rsidR="00603F3F" w:rsidRPr="00BE465B" w:rsidRDefault="00603F3F" w:rsidP="003E3269">
      <w:pPr>
        <w:pStyle w:val="Paragrafoelenco"/>
        <w:widowControl w:val="0"/>
        <w:numPr>
          <w:ilvl w:val="0"/>
          <w:numId w:val="43"/>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garanzia della regolarità e correttezza dell’azione amministrativa;</w:t>
      </w:r>
    </w:p>
    <w:p w14:paraId="4375CFAD" w14:textId="7D851D80" w:rsidR="00603F3F" w:rsidRPr="00BE465B" w:rsidRDefault="00603F3F" w:rsidP="003E3269">
      <w:pPr>
        <w:pStyle w:val="Paragrafoelenco"/>
        <w:widowControl w:val="0"/>
        <w:numPr>
          <w:ilvl w:val="0"/>
          <w:numId w:val="43"/>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valutazione delle prestazioni del personale con qualifica dirigenziale;</w:t>
      </w:r>
    </w:p>
    <w:p w14:paraId="2F6EFF93" w14:textId="039D638D" w:rsidR="00603F3F" w:rsidRPr="00BE465B" w:rsidRDefault="00603F3F" w:rsidP="003E3269">
      <w:pPr>
        <w:pStyle w:val="Paragrafoelenco"/>
        <w:widowControl w:val="0"/>
        <w:numPr>
          <w:ilvl w:val="0"/>
          <w:numId w:val="43"/>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verifica dell’efficacia, efficienza ed economicità dell’azione amministrativa sulla base del rapporto tra costi e risultati raggiunti;</w:t>
      </w:r>
    </w:p>
    <w:p w14:paraId="43019D12" w14:textId="07A969F3" w:rsidR="00603F3F" w:rsidRPr="00BE465B" w:rsidRDefault="00603F3F" w:rsidP="003E3269">
      <w:pPr>
        <w:pStyle w:val="Paragrafoelenco"/>
        <w:widowControl w:val="0"/>
        <w:numPr>
          <w:ilvl w:val="0"/>
          <w:numId w:val="43"/>
        </w:numPr>
        <w:spacing w:after="0" w:line="276" w:lineRule="auto"/>
        <w:ind w:left="284" w:hanging="284"/>
        <w:jc w:val="both"/>
        <w:rPr>
          <w:rFonts w:ascii="Times New Roman" w:hAnsi="Times New Roman"/>
          <w:i/>
          <w:sz w:val="20"/>
          <w:szCs w:val="20"/>
          <w:lang w:eastAsia="it-IT"/>
        </w:rPr>
      </w:pPr>
      <w:r w:rsidRPr="00BE465B">
        <w:rPr>
          <w:rFonts w:ascii="Times New Roman" w:hAnsi="Times New Roman"/>
          <w:i/>
          <w:sz w:val="20"/>
          <w:szCs w:val="20"/>
          <w:lang w:eastAsia="it-IT"/>
        </w:rPr>
        <w:t>verifica della congruenza tra gli obiettivi fissati dai piani e programmi dell’organo politico ed i risultati raggiunti.</w:t>
      </w:r>
    </w:p>
    <w:p w14:paraId="7F9385D9" w14:textId="72D1EBA6" w:rsidR="00603F3F" w:rsidRPr="00B72862" w:rsidRDefault="00603F3F" w:rsidP="00603F3F">
      <w:pPr>
        <w:widowControl w:val="0"/>
        <w:spacing w:after="0"/>
        <w:jc w:val="center"/>
        <w:rPr>
          <w:rFonts w:ascii="Times New Roman" w:hAnsi="Times New Roman"/>
          <w:sz w:val="20"/>
          <w:szCs w:val="20"/>
          <w:lang w:eastAsia="it-IT"/>
        </w:rPr>
      </w:pPr>
    </w:p>
    <w:p w14:paraId="66577E45" w14:textId="3C623A6D" w:rsidR="00603F3F" w:rsidRPr="00237959" w:rsidRDefault="00300FB5" w:rsidP="00603F3F">
      <w:pPr>
        <w:pStyle w:val="Titolo4"/>
        <w:keepNext w:val="0"/>
        <w:widowControl w:val="0"/>
        <w:jc w:val="both"/>
        <w:rPr>
          <w:b/>
          <w:lang w:val="it-IT"/>
        </w:rPr>
      </w:pPr>
      <w:bookmarkStart w:id="323" w:name="_Toc535854426"/>
      <w:r>
        <w:rPr>
          <w:b/>
          <w:lang w:val="it-IT"/>
        </w:rPr>
        <w:t>9.2.</w:t>
      </w:r>
      <w:r w:rsidR="00603F3F" w:rsidRPr="00237959">
        <w:rPr>
          <w:b/>
          <w:lang w:val="it-IT"/>
        </w:rPr>
        <w:tab/>
        <w:t>Il nuovo modello di Gestione dei Rischi</w:t>
      </w:r>
      <w:bookmarkEnd w:id="323"/>
    </w:p>
    <w:p w14:paraId="475097F1" w14:textId="77777777" w:rsidR="00603F3F" w:rsidRPr="006B464B" w:rsidRDefault="00603F3F" w:rsidP="00603F3F">
      <w:pPr>
        <w:widowControl w:val="0"/>
        <w:spacing w:after="0"/>
        <w:rPr>
          <w:sz w:val="2"/>
        </w:rPr>
      </w:pPr>
    </w:p>
    <w:p w14:paraId="4897CCA8" w14:textId="08FDE664" w:rsidR="00603F3F" w:rsidRDefault="00603F3F" w:rsidP="00603F3F">
      <w:pPr>
        <w:widowControl w:val="0"/>
        <w:spacing w:after="0"/>
        <w:jc w:val="center"/>
        <w:rPr>
          <w:rFonts w:ascii="Times New Roman" w:hAnsi="Times New Roman"/>
          <w:sz w:val="20"/>
          <w:szCs w:val="20"/>
          <w:lang w:eastAsia="it-IT"/>
        </w:rPr>
      </w:pPr>
    </w:p>
    <w:p w14:paraId="570C942B" w14:textId="77777777" w:rsidR="00300FB5"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La società</w:t>
      </w:r>
      <w:r w:rsidRPr="00B72862">
        <w:rPr>
          <w:rFonts w:ascii="Times New Roman" w:hAnsi="Times New Roman"/>
          <w:sz w:val="20"/>
          <w:szCs w:val="20"/>
          <w:lang w:eastAsia="it-IT"/>
        </w:rPr>
        <w:t xml:space="preserve">, in qualità di società partecipata </w:t>
      </w:r>
      <w:r w:rsidR="00DE2FB7">
        <w:rPr>
          <w:rFonts w:ascii="Times New Roman" w:hAnsi="Times New Roman"/>
          <w:sz w:val="20"/>
          <w:szCs w:val="20"/>
          <w:lang w:eastAsia="it-IT"/>
        </w:rPr>
        <w:t>del Comune di Marino</w:t>
      </w:r>
      <w:r w:rsidRPr="00B72862">
        <w:rPr>
          <w:rFonts w:ascii="Times New Roman" w:hAnsi="Times New Roman"/>
          <w:sz w:val="20"/>
          <w:szCs w:val="20"/>
          <w:lang w:eastAsia="it-IT"/>
        </w:rPr>
        <w:t>, così come indicato nel quadro normativo, adotterà nel triennio di riferimento, un nuovo modello di prevenzione e di Gestione dei Rischi, ispirato ai requisiti del modello ISO 31000: 2010.</w:t>
      </w:r>
      <w:r>
        <w:rPr>
          <w:rFonts w:ascii="Times New Roman" w:hAnsi="Times New Roman"/>
          <w:sz w:val="20"/>
          <w:szCs w:val="20"/>
          <w:lang w:eastAsia="it-IT"/>
        </w:rPr>
        <w:t xml:space="preserve"> </w:t>
      </w:r>
    </w:p>
    <w:p w14:paraId="3138A0F3" w14:textId="726ECC71" w:rsidR="00300FB5" w:rsidRDefault="00300FB5" w:rsidP="00300FB5">
      <w:pPr>
        <w:widowControl w:val="0"/>
        <w:spacing w:after="0"/>
        <w:jc w:val="center"/>
        <w:rPr>
          <w:rFonts w:ascii="Times New Roman" w:hAnsi="Times New Roman"/>
          <w:sz w:val="20"/>
          <w:szCs w:val="20"/>
          <w:lang w:eastAsia="it-IT"/>
        </w:rPr>
      </w:pPr>
      <w:r w:rsidRPr="00B72862">
        <w:rPr>
          <w:rFonts w:ascii="Times New Roman" w:hAnsi="Times New Roman"/>
          <w:noProof/>
          <w:sz w:val="20"/>
          <w:szCs w:val="20"/>
          <w:lang w:eastAsia="it-IT"/>
        </w:rPr>
        <w:drawing>
          <wp:inline distT="0" distB="0" distL="0" distR="0" wp14:anchorId="1FA5FC92" wp14:editId="3DD727B5">
            <wp:extent cx="2621032" cy="2040397"/>
            <wp:effectExtent l="171450" t="171450" r="179705" b="18859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odello di GEstione del Rischio ORganizzativo.jpg"/>
                    <pic:cNvPicPr/>
                  </pic:nvPicPr>
                  <pic:blipFill>
                    <a:blip r:embed="rId15">
                      <a:extLst>
                        <a:ext uri="{28A0092B-C50C-407E-A947-70E740481C1C}">
                          <a14:useLocalDpi xmlns:a14="http://schemas.microsoft.com/office/drawing/2010/main" val="0"/>
                        </a:ext>
                      </a:extLst>
                    </a:blip>
                    <a:stretch>
                      <a:fillRect/>
                    </a:stretch>
                  </pic:blipFill>
                  <pic:spPr>
                    <a:xfrm>
                      <a:off x="0" y="0"/>
                      <a:ext cx="2652378" cy="206479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FAB192A" w14:textId="207BF223" w:rsidR="00603F3F" w:rsidRPr="00B72862" w:rsidRDefault="00603F3F" w:rsidP="00603F3F">
      <w:pPr>
        <w:widowControl w:val="0"/>
        <w:spacing w:after="0"/>
        <w:jc w:val="both"/>
        <w:rPr>
          <w:rFonts w:ascii="Times New Roman" w:hAnsi="Times New Roman"/>
          <w:sz w:val="20"/>
          <w:szCs w:val="20"/>
          <w:lang w:eastAsia="it-IT"/>
        </w:rPr>
      </w:pPr>
      <w:r w:rsidRPr="00B72862">
        <w:rPr>
          <w:rFonts w:ascii="Times New Roman" w:hAnsi="Times New Roman"/>
          <w:sz w:val="20"/>
          <w:szCs w:val="20"/>
          <w:lang w:eastAsia="it-IT"/>
        </w:rPr>
        <w:t xml:space="preserve">Il nuovo modello ha il compito specifico di verificare che le procedure adottate dalla </w:t>
      </w:r>
      <w:r>
        <w:rPr>
          <w:rFonts w:ascii="Times New Roman" w:hAnsi="Times New Roman"/>
          <w:sz w:val="20"/>
          <w:szCs w:val="20"/>
          <w:lang w:eastAsia="it-IT"/>
        </w:rPr>
        <w:t>società</w:t>
      </w:r>
      <w:r w:rsidRPr="00B72862">
        <w:rPr>
          <w:rFonts w:ascii="Times New Roman" w:hAnsi="Times New Roman"/>
          <w:sz w:val="20"/>
          <w:szCs w:val="20"/>
          <w:lang w:eastAsia="it-IT"/>
        </w:rPr>
        <w:t xml:space="preserve"> siano coerenti con l’obiettivo di </w:t>
      </w:r>
      <w:r w:rsidRPr="0080666F">
        <w:rPr>
          <w:rFonts w:ascii="Times New Roman" w:hAnsi="Times New Roman"/>
          <w:sz w:val="20"/>
        </w:rPr>
        <w:t xml:space="preserve">prevenire la </w:t>
      </w:r>
      <w:r w:rsidRPr="00B72862">
        <w:rPr>
          <w:rFonts w:ascii="Times New Roman" w:hAnsi="Times New Roman"/>
          <w:sz w:val="20"/>
          <w:szCs w:val="20"/>
          <w:lang w:eastAsia="it-IT"/>
        </w:rPr>
        <w:t>violazione di leggi, regolamenti, disposizioni di vigilanza, codice etico</w:t>
      </w:r>
      <w:r w:rsidRPr="0080666F">
        <w:rPr>
          <w:rFonts w:ascii="Times New Roman" w:hAnsi="Times New Roman"/>
          <w:sz w:val="20"/>
        </w:rPr>
        <w:t xml:space="preserve"> </w:t>
      </w:r>
      <w:r w:rsidRPr="00B72862">
        <w:rPr>
          <w:rFonts w:ascii="Times New Roman" w:hAnsi="Times New Roman"/>
          <w:sz w:val="20"/>
          <w:szCs w:val="20"/>
          <w:lang w:eastAsia="it-IT"/>
        </w:rPr>
        <w:t>aziendale, regolamenti interni, metodi e procedure, ed assicurare, pertanto, una gestione dinamica e consapevole del rischio di non conformità ed operativo inteso come il rischio di incorrere in sanzioni giudiziarie o amministrative, perdite finanziarie o danni di reputazione, in conseguenza di violazioni di norme imperative o di autoregolamentazione.</w:t>
      </w:r>
      <w:r>
        <w:rPr>
          <w:rFonts w:ascii="Times New Roman" w:hAnsi="Times New Roman"/>
          <w:sz w:val="20"/>
          <w:szCs w:val="20"/>
          <w:lang w:eastAsia="it-IT"/>
        </w:rPr>
        <w:t xml:space="preserve"> </w:t>
      </w:r>
      <w:r w:rsidRPr="0080666F">
        <w:rPr>
          <w:rFonts w:ascii="Times New Roman" w:hAnsi="Times New Roman"/>
          <w:sz w:val="20"/>
        </w:rPr>
        <w:t xml:space="preserve">Tale </w:t>
      </w:r>
      <w:r w:rsidRPr="00B72862">
        <w:rPr>
          <w:rFonts w:ascii="Times New Roman" w:hAnsi="Times New Roman"/>
          <w:sz w:val="20"/>
          <w:szCs w:val="20"/>
          <w:lang w:eastAsia="it-IT"/>
        </w:rPr>
        <w:t xml:space="preserve">modello di gestione dei rischi, che può essere sintetizzato dalla figura seguente, prevede che si instauri all’interno della </w:t>
      </w:r>
      <w:r>
        <w:rPr>
          <w:rFonts w:ascii="Times New Roman" w:hAnsi="Times New Roman"/>
          <w:sz w:val="20"/>
          <w:szCs w:val="20"/>
          <w:lang w:eastAsia="it-IT"/>
        </w:rPr>
        <w:t>società</w:t>
      </w:r>
      <w:r w:rsidRPr="00B72862">
        <w:rPr>
          <w:rFonts w:ascii="Times New Roman" w:hAnsi="Times New Roman"/>
          <w:sz w:val="20"/>
          <w:szCs w:val="20"/>
          <w:lang w:eastAsia="it-IT"/>
        </w:rPr>
        <w:t xml:space="preserve"> un processo di gestione dei rischi, da applicare ad ogni </w:t>
      </w:r>
      <w:r w:rsidR="00AB1591">
        <w:rPr>
          <w:rFonts w:ascii="Times New Roman" w:hAnsi="Times New Roman"/>
          <w:sz w:val="20"/>
          <w:szCs w:val="20"/>
          <w:lang w:eastAsia="it-IT"/>
        </w:rPr>
        <w:t>settore</w:t>
      </w:r>
      <w:r w:rsidRPr="00B72862">
        <w:rPr>
          <w:rFonts w:ascii="Times New Roman" w:hAnsi="Times New Roman"/>
          <w:sz w:val="20"/>
          <w:szCs w:val="20"/>
          <w:lang w:eastAsia="it-IT"/>
        </w:rPr>
        <w:t xml:space="preserve"> e livello, così come nelle specifiche funzioni, progetti ed attività, in quanto ogni specifico settore comporta particolari necessità, interlocutori percezioni e criteri.</w:t>
      </w:r>
      <w:r>
        <w:rPr>
          <w:rFonts w:ascii="Times New Roman" w:hAnsi="Times New Roman"/>
          <w:sz w:val="20"/>
          <w:szCs w:val="20"/>
          <w:lang w:eastAsia="it-IT"/>
        </w:rPr>
        <w:t xml:space="preserve"> </w:t>
      </w:r>
      <w:r w:rsidRPr="00B72862">
        <w:rPr>
          <w:rFonts w:ascii="Times New Roman" w:hAnsi="Times New Roman"/>
          <w:sz w:val="20"/>
          <w:szCs w:val="20"/>
          <w:lang w:eastAsia="it-IT"/>
        </w:rPr>
        <w:t>Gli elementi su cui si fonda il processo di prevenzione e di gestione dei rischi individuati sono la:</w:t>
      </w:r>
      <w:r>
        <w:rPr>
          <w:rFonts w:ascii="Times New Roman" w:hAnsi="Times New Roman"/>
          <w:sz w:val="20"/>
          <w:szCs w:val="20"/>
          <w:lang w:eastAsia="it-IT"/>
        </w:rPr>
        <w:t xml:space="preserve"> d</w:t>
      </w:r>
      <w:r w:rsidRPr="00B72862">
        <w:rPr>
          <w:rFonts w:ascii="Times New Roman" w:hAnsi="Times New Roman"/>
          <w:sz w:val="20"/>
          <w:szCs w:val="20"/>
          <w:lang w:eastAsia="it-IT"/>
        </w:rPr>
        <w:t xml:space="preserve">efinizione del </w:t>
      </w:r>
      <w:r>
        <w:rPr>
          <w:rFonts w:ascii="Times New Roman" w:hAnsi="Times New Roman"/>
          <w:sz w:val="20"/>
          <w:szCs w:val="20"/>
          <w:lang w:eastAsia="it-IT"/>
        </w:rPr>
        <w:t>c</w:t>
      </w:r>
      <w:r w:rsidRPr="00B72862">
        <w:rPr>
          <w:rFonts w:ascii="Times New Roman" w:hAnsi="Times New Roman"/>
          <w:sz w:val="20"/>
          <w:szCs w:val="20"/>
          <w:lang w:eastAsia="it-IT"/>
        </w:rPr>
        <w:t>ontesto;</w:t>
      </w:r>
      <w:r>
        <w:rPr>
          <w:rFonts w:ascii="Times New Roman" w:hAnsi="Times New Roman"/>
          <w:sz w:val="20"/>
          <w:szCs w:val="20"/>
          <w:lang w:eastAsia="it-IT"/>
        </w:rPr>
        <w:t xml:space="preserve"> v</w:t>
      </w:r>
      <w:r w:rsidRPr="00B72862">
        <w:rPr>
          <w:rFonts w:ascii="Times New Roman" w:hAnsi="Times New Roman"/>
          <w:sz w:val="20"/>
          <w:szCs w:val="20"/>
          <w:lang w:eastAsia="it-IT"/>
        </w:rPr>
        <w:t xml:space="preserve">alutazione del </w:t>
      </w:r>
      <w:r>
        <w:rPr>
          <w:rFonts w:ascii="Times New Roman" w:hAnsi="Times New Roman"/>
          <w:sz w:val="20"/>
          <w:szCs w:val="20"/>
          <w:lang w:eastAsia="it-IT"/>
        </w:rPr>
        <w:t>r</w:t>
      </w:r>
      <w:r w:rsidRPr="00B72862">
        <w:rPr>
          <w:rFonts w:ascii="Times New Roman" w:hAnsi="Times New Roman"/>
          <w:sz w:val="20"/>
          <w:szCs w:val="20"/>
          <w:lang w:eastAsia="it-IT"/>
        </w:rPr>
        <w:t>ischio (</w:t>
      </w:r>
      <w:r>
        <w:rPr>
          <w:rFonts w:ascii="Times New Roman" w:hAnsi="Times New Roman"/>
          <w:sz w:val="20"/>
          <w:szCs w:val="20"/>
          <w:lang w:eastAsia="it-IT"/>
        </w:rPr>
        <w:t>i</w:t>
      </w:r>
      <w:r w:rsidRPr="00B72862">
        <w:rPr>
          <w:rFonts w:ascii="Times New Roman" w:hAnsi="Times New Roman"/>
          <w:sz w:val="20"/>
          <w:szCs w:val="20"/>
          <w:lang w:eastAsia="it-IT"/>
        </w:rPr>
        <w:t xml:space="preserve">dentificazione, </w:t>
      </w:r>
      <w:r>
        <w:rPr>
          <w:rFonts w:ascii="Times New Roman" w:hAnsi="Times New Roman"/>
          <w:sz w:val="20"/>
          <w:szCs w:val="20"/>
          <w:lang w:eastAsia="it-IT"/>
        </w:rPr>
        <w:t>a</w:t>
      </w:r>
      <w:r w:rsidRPr="00B72862">
        <w:rPr>
          <w:rFonts w:ascii="Times New Roman" w:hAnsi="Times New Roman"/>
          <w:sz w:val="20"/>
          <w:szCs w:val="20"/>
          <w:lang w:eastAsia="it-IT"/>
        </w:rPr>
        <w:t xml:space="preserve">nalisi e </w:t>
      </w:r>
      <w:r>
        <w:rPr>
          <w:rFonts w:ascii="Times New Roman" w:hAnsi="Times New Roman"/>
          <w:sz w:val="20"/>
          <w:szCs w:val="20"/>
          <w:lang w:eastAsia="it-IT"/>
        </w:rPr>
        <w:t>p</w:t>
      </w:r>
      <w:r w:rsidRPr="00B72862">
        <w:rPr>
          <w:rFonts w:ascii="Times New Roman" w:hAnsi="Times New Roman"/>
          <w:sz w:val="20"/>
          <w:szCs w:val="20"/>
          <w:lang w:eastAsia="it-IT"/>
        </w:rPr>
        <w:t>onderazione);</w:t>
      </w:r>
      <w:r>
        <w:rPr>
          <w:rFonts w:ascii="Times New Roman" w:hAnsi="Times New Roman"/>
          <w:sz w:val="20"/>
          <w:szCs w:val="20"/>
          <w:lang w:eastAsia="it-IT"/>
        </w:rPr>
        <w:t xml:space="preserve"> t</w:t>
      </w:r>
      <w:r w:rsidRPr="00B72862">
        <w:rPr>
          <w:rFonts w:ascii="Times New Roman" w:hAnsi="Times New Roman"/>
          <w:sz w:val="20"/>
          <w:szCs w:val="20"/>
          <w:lang w:eastAsia="it-IT"/>
        </w:rPr>
        <w:t xml:space="preserve">rattamento del </w:t>
      </w:r>
      <w:r>
        <w:rPr>
          <w:rFonts w:ascii="Times New Roman" w:hAnsi="Times New Roman"/>
          <w:sz w:val="20"/>
          <w:szCs w:val="20"/>
          <w:lang w:eastAsia="it-IT"/>
        </w:rPr>
        <w:t>r</w:t>
      </w:r>
      <w:r w:rsidRPr="00B72862">
        <w:rPr>
          <w:rFonts w:ascii="Times New Roman" w:hAnsi="Times New Roman"/>
          <w:sz w:val="20"/>
          <w:szCs w:val="20"/>
          <w:lang w:eastAsia="it-IT"/>
        </w:rPr>
        <w:t>ischio.</w:t>
      </w:r>
      <w:r>
        <w:rPr>
          <w:rFonts w:ascii="Times New Roman" w:hAnsi="Times New Roman"/>
          <w:sz w:val="20"/>
          <w:szCs w:val="20"/>
          <w:lang w:eastAsia="it-IT"/>
        </w:rPr>
        <w:t xml:space="preserve"> </w:t>
      </w:r>
      <w:r w:rsidRPr="00B72862">
        <w:rPr>
          <w:rFonts w:ascii="Times New Roman" w:hAnsi="Times New Roman"/>
          <w:sz w:val="20"/>
          <w:szCs w:val="20"/>
          <w:lang w:eastAsia="it-IT"/>
        </w:rPr>
        <w:t>A tali elementi si associano le attività trasversali di:</w:t>
      </w:r>
      <w:r>
        <w:rPr>
          <w:rFonts w:ascii="Times New Roman" w:hAnsi="Times New Roman"/>
          <w:sz w:val="20"/>
          <w:szCs w:val="20"/>
          <w:lang w:eastAsia="it-IT"/>
        </w:rPr>
        <w:t xml:space="preserve"> c</w:t>
      </w:r>
      <w:r w:rsidRPr="00B72862">
        <w:rPr>
          <w:rFonts w:ascii="Times New Roman" w:hAnsi="Times New Roman"/>
          <w:sz w:val="20"/>
          <w:szCs w:val="20"/>
          <w:lang w:eastAsia="it-IT"/>
        </w:rPr>
        <w:t xml:space="preserve">omunicazione e </w:t>
      </w:r>
      <w:r>
        <w:rPr>
          <w:rFonts w:ascii="Times New Roman" w:hAnsi="Times New Roman"/>
          <w:sz w:val="20"/>
          <w:szCs w:val="20"/>
          <w:lang w:eastAsia="it-IT"/>
        </w:rPr>
        <w:t>c</w:t>
      </w:r>
      <w:r w:rsidRPr="00B72862">
        <w:rPr>
          <w:rFonts w:ascii="Times New Roman" w:hAnsi="Times New Roman"/>
          <w:sz w:val="20"/>
          <w:szCs w:val="20"/>
          <w:lang w:eastAsia="it-IT"/>
        </w:rPr>
        <w:t>onsultazione;</w:t>
      </w:r>
      <w:r>
        <w:rPr>
          <w:rFonts w:ascii="Times New Roman" w:hAnsi="Times New Roman"/>
          <w:sz w:val="20"/>
          <w:szCs w:val="20"/>
          <w:lang w:eastAsia="it-IT"/>
        </w:rPr>
        <w:t xml:space="preserve"> m</w:t>
      </w:r>
      <w:r w:rsidRPr="00B72862">
        <w:rPr>
          <w:rFonts w:ascii="Times New Roman" w:hAnsi="Times New Roman"/>
          <w:sz w:val="20"/>
          <w:szCs w:val="20"/>
          <w:lang w:eastAsia="it-IT"/>
        </w:rPr>
        <w:t>onitoraggio;</w:t>
      </w:r>
      <w:r>
        <w:rPr>
          <w:rFonts w:ascii="Times New Roman" w:hAnsi="Times New Roman"/>
          <w:sz w:val="20"/>
          <w:szCs w:val="20"/>
          <w:lang w:eastAsia="it-IT"/>
        </w:rPr>
        <w:t xml:space="preserve"> r</w:t>
      </w:r>
      <w:r w:rsidRPr="00B72862">
        <w:rPr>
          <w:rFonts w:ascii="Times New Roman" w:hAnsi="Times New Roman"/>
          <w:sz w:val="20"/>
          <w:szCs w:val="20"/>
          <w:lang w:eastAsia="it-IT"/>
        </w:rPr>
        <w:t>iesame.</w:t>
      </w:r>
    </w:p>
    <w:p w14:paraId="71F14C30" w14:textId="13AE7B3C" w:rsidR="00603F3F" w:rsidRPr="00B72862" w:rsidRDefault="00603F3F" w:rsidP="00603F3F">
      <w:pPr>
        <w:widowControl w:val="0"/>
        <w:spacing w:after="0"/>
        <w:jc w:val="center"/>
        <w:rPr>
          <w:rFonts w:ascii="Times New Roman" w:hAnsi="Times New Roman"/>
          <w:sz w:val="20"/>
          <w:szCs w:val="20"/>
        </w:rPr>
      </w:pPr>
    </w:p>
    <w:p w14:paraId="5104D38F" w14:textId="1C6A9385" w:rsidR="00603F3F" w:rsidRPr="00DE2FB7" w:rsidRDefault="00300FB5" w:rsidP="00603F3F">
      <w:pPr>
        <w:pStyle w:val="Titolo4"/>
        <w:keepNext w:val="0"/>
        <w:widowControl w:val="0"/>
        <w:jc w:val="both"/>
        <w:rPr>
          <w:b/>
          <w:lang w:val="it-IT"/>
        </w:rPr>
      </w:pPr>
      <w:bookmarkStart w:id="324" w:name="_Toc535854427"/>
      <w:r>
        <w:rPr>
          <w:b/>
          <w:lang w:val="it-IT"/>
        </w:rPr>
        <w:t>9.2.1</w:t>
      </w:r>
      <w:r w:rsidR="00603F3F" w:rsidRPr="004841AB">
        <w:rPr>
          <w:lang w:val="it-IT"/>
        </w:rPr>
        <w:tab/>
      </w:r>
      <w:r w:rsidR="00603F3F" w:rsidRPr="00DE2FB7">
        <w:rPr>
          <w:b/>
          <w:lang w:val="it-IT"/>
        </w:rPr>
        <w:t>Il Sistema Integrato di Certificazioni</w:t>
      </w:r>
      <w:bookmarkEnd w:id="324"/>
    </w:p>
    <w:p w14:paraId="3B32F39B" w14:textId="1596F06B" w:rsidR="00603F3F" w:rsidRPr="00B72862" w:rsidRDefault="00603F3F" w:rsidP="00603F3F">
      <w:pPr>
        <w:widowControl w:val="0"/>
        <w:spacing w:after="0"/>
        <w:jc w:val="both"/>
        <w:rPr>
          <w:rFonts w:ascii="Times New Roman" w:hAnsi="Times New Roman"/>
          <w:sz w:val="20"/>
          <w:szCs w:val="20"/>
          <w:lang w:eastAsia="it-IT"/>
        </w:rPr>
      </w:pPr>
      <w:r>
        <w:rPr>
          <w:rFonts w:ascii="Times New Roman" w:hAnsi="Times New Roman"/>
          <w:sz w:val="20"/>
          <w:szCs w:val="20"/>
          <w:lang w:eastAsia="it-IT"/>
        </w:rPr>
        <w:t>La società</w:t>
      </w:r>
      <w:r w:rsidRPr="00B72862">
        <w:rPr>
          <w:rFonts w:ascii="Times New Roman" w:hAnsi="Times New Roman"/>
          <w:sz w:val="20"/>
          <w:szCs w:val="20"/>
          <w:lang w:eastAsia="it-IT"/>
        </w:rPr>
        <w:t xml:space="preserve">, oltre all’adozione del modello di gestione dei rischi, attuerà durante il triennio considerato un Sistema Integrato di certificazioni secondo gli standard europei attraverso i quali potrà garantire un miglior Sistema di Prevenzione dei Rischi e, all’azionista e ai cittadini </w:t>
      </w:r>
      <w:r w:rsidR="00300FB5">
        <w:rPr>
          <w:rFonts w:ascii="Times New Roman" w:hAnsi="Times New Roman"/>
          <w:sz w:val="20"/>
          <w:szCs w:val="20"/>
          <w:lang w:eastAsia="it-IT"/>
        </w:rPr>
        <w:t>del Comune di Marino</w:t>
      </w:r>
      <w:r w:rsidRPr="00B72862">
        <w:rPr>
          <w:rFonts w:ascii="Times New Roman" w:hAnsi="Times New Roman"/>
          <w:sz w:val="20"/>
          <w:szCs w:val="20"/>
          <w:lang w:eastAsia="it-IT"/>
        </w:rPr>
        <w:t>, migliori livelli qualitativi del proprio operato.</w:t>
      </w:r>
      <w:r>
        <w:rPr>
          <w:rFonts w:ascii="Times New Roman" w:hAnsi="Times New Roman"/>
          <w:sz w:val="20"/>
          <w:szCs w:val="20"/>
          <w:lang w:eastAsia="it-IT"/>
        </w:rPr>
        <w:t xml:space="preserve"> </w:t>
      </w:r>
      <w:r w:rsidRPr="00B72862">
        <w:rPr>
          <w:rFonts w:ascii="Times New Roman" w:hAnsi="Times New Roman"/>
          <w:sz w:val="20"/>
          <w:szCs w:val="20"/>
          <w:lang w:eastAsia="it-IT"/>
        </w:rPr>
        <w:t>In particolare, le azioni che sono previste in questo senso sono:</w:t>
      </w:r>
    </w:p>
    <w:p w14:paraId="7D440994" w14:textId="77777777" w:rsidR="00BE465B" w:rsidRPr="00BE465B" w:rsidRDefault="00603F3F" w:rsidP="00BE465B">
      <w:pPr>
        <w:pStyle w:val="Paragrafoelenco"/>
        <w:widowControl w:val="0"/>
        <w:numPr>
          <w:ilvl w:val="0"/>
          <w:numId w:val="51"/>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Mantenimento dello Standard di Sicurezza (BS OHSAS 18001: Occupational Healt</w:t>
      </w:r>
      <w:r w:rsidR="009923CB" w:rsidRPr="00BE465B">
        <w:rPr>
          <w:rFonts w:ascii="Times New Roman" w:hAnsi="Times New Roman"/>
          <w:i/>
          <w:sz w:val="20"/>
          <w:szCs w:val="20"/>
          <w:lang w:eastAsia="it-IT"/>
        </w:rPr>
        <w:t>h and Safety Assessment Series). Il Sistema di Certificazione BS OHSAS 18001con le relative procedure è parte integrante del presente Piano Anticorruzione e MOG aziendale.</w:t>
      </w:r>
    </w:p>
    <w:p w14:paraId="0944BDBD" w14:textId="77777777" w:rsidR="00BE465B" w:rsidRPr="00BE465B" w:rsidRDefault="00F56B16" w:rsidP="00BE465B">
      <w:pPr>
        <w:pStyle w:val="Paragrafoelenco"/>
        <w:widowControl w:val="0"/>
        <w:numPr>
          <w:ilvl w:val="0"/>
          <w:numId w:val="51"/>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Studio per l</w:t>
      </w:r>
      <w:r w:rsidR="00603F3F" w:rsidRPr="00BE465B">
        <w:rPr>
          <w:rFonts w:ascii="Times New Roman" w:hAnsi="Times New Roman"/>
          <w:i/>
          <w:sz w:val="20"/>
          <w:szCs w:val="20"/>
          <w:lang w:eastAsia="it-IT"/>
        </w:rPr>
        <w:t>’attivazione e l’implementazione dello Standard Informazioni (UNI EN ISO 27001: Sistema di Gestione della Sicurezza delle Informazioni);</w:t>
      </w:r>
    </w:p>
    <w:p w14:paraId="30CA8518" w14:textId="5A04E7FD" w:rsidR="00603F3F" w:rsidRPr="00BE465B" w:rsidRDefault="00F56B16" w:rsidP="00BE465B">
      <w:pPr>
        <w:pStyle w:val="Paragrafoelenco"/>
        <w:widowControl w:val="0"/>
        <w:numPr>
          <w:ilvl w:val="0"/>
          <w:numId w:val="51"/>
        </w:numPr>
        <w:spacing w:after="0" w:line="276" w:lineRule="auto"/>
        <w:contextualSpacing w:val="0"/>
        <w:jc w:val="both"/>
        <w:rPr>
          <w:rFonts w:ascii="Times New Roman" w:hAnsi="Times New Roman"/>
          <w:i/>
          <w:sz w:val="20"/>
          <w:szCs w:val="20"/>
          <w:lang w:eastAsia="it-IT"/>
        </w:rPr>
      </w:pPr>
      <w:r w:rsidRPr="00BE465B">
        <w:rPr>
          <w:rFonts w:ascii="Times New Roman" w:hAnsi="Times New Roman"/>
          <w:i/>
          <w:sz w:val="20"/>
          <w:szCs w:val="20"/>
          <w:lang w:eastAsia="it-IT"/>
        </w:rPr>
        <w:t>Studio per l</w:t>
      </w:r>
      <w:r w:rsidR="00603F3F" w:rsidRPr="00BE465B">
        <w:rPr>
          <w:rFonts w:ascii="Times New Roman" w:hAnsi="Times New Roman"/>
          <w:i/>
          <w:sz w:val="20"/>
          <w:szCs w:val="20"/>
          <w:lang w:eastAsia="it-IT"/>
        </w:rPr>
        <w:t>’attivazione e l’implementazione dello Standard Corruzione (UNI EN ISO 37001: Sistema di Gestione per la prevenzione della Corruzione.</w:t>
      </w:r>
    </w:p>
    <w:p w14:paraId="6460BC70" w14:textId="77777777" w:rsidR="00603F3F" w:rsidRPr="00CD7FBE" w:rsidRDefault="00603F3F" w:rsidP="00603F3F">
      <w:pPr>
        <w:widowControl w:val="0"/>
        <w:spacing w:after="0"/>
        <w:jc w:val="center"/>
        <w:rPr>
          <w:rFonts w:ascii="Times New Roman" w:hAnsi="Times New Roman"/>
          <w:b/>
          <w:color w:val="2E74B5"/>
          <w:sz w:val="40"/>
          <w:szCs w:val="40"/>
        </w:rPr>
      </w:pPr>
      <w:r w:rsidRPr="00CD7FBE">
        <w:rPr>
          <w:rFonts w:ascii="Times New Roman" w:hAnsi="Times New Roman"/>
        </w:rPr>
        <w:br w:type="page"/>
      </w:r>
      <w:bookmarkStart w:id="325" w:name="_Toc418505916"/>
      <w:bookmarkStart w:id="326" w:name="_Toc447100341"/>
      <w:bookmarkStart w:id="327" w:name="_Toc447101331"/>
      <w:bookmarkStart w:id="328" w:name="_Toc447695939"/>
      <w:r w:rsidRPr="00CD7FBE">
        <w:rPr>
          <w:rFonts w:ascii="Times New Roman" w:hAnsi="Times New Roman"/>
          <w:b/>
          <w:color w:val="2E74B5"/>
          <w:sz w:val="40"/>
          <w:szCs w:val="40"/>
        </w:rPr>
        <w:t>Sezione I</w:t>
      </w:r>
      <w:r>
        <w:rPr>
          <w:rFonts w:ascii="Times New Roman" w:hAnsi="Times New Roman"/>
          <w:b/>
          <w:color w:val="2E74B5"/>
          <w:sz w:val="40"/>
          <w:szCs w:val="40"/>
        </w:rPr>
        <w:t>I</w:t>
      </w:r>
    </w:p>
    <w:p w14:paraId="6E2A02E8" w14:textId="77777777" w:rsidR="00603F3F" w:rsidRPr="00CD7FBE" w:rsidRDefault="00603F3F" w:rsidP="00603F3F">
      <w:pPr>
        <w:widowControl w:val="0"/>
        <w:spacing w:after="0"/>
        <w:rPr>
          <w:rFonts w:ascii="Times New Roman" w:hAnsi="Times New Roman"/>
          <w:color w:val="2E74B5"/>
          <w:lang w:val="x-none"/>
        </w:rPr>
      </w:pPr>
    </w:p>
    <w:p w14:paraId="5CBE5F89" w14:textId="77777777" w:rsidR="00603F3F" w:rsidRPr="00CD7FBE" w:rsidRDefault="00603F3F" w:rsidP="00603F3F">
      <w:pPr>
        <w:widowControl w:val="0"/>
        <w:spacing w:after="0"/>
        <w:rPr>
          <w:rFonts w:ascii="Times New Roman" w:hAnsi="Times New Roman"/>
          <w:color w:val="2E74B5"/>
          <w:lang w:val="x-none"/>
        </w:rPr>
      </w:pPr>
    </w:p>
    <w:p w14:paraId="0E640249" w14:textId="77777777" w:rsidR="00603F3F" w:rsidRPr="00CD7FBE" w:rsidRDefault="00603F3F" w:rsidP="00603F3F">
      <w:pPr>
        <w:widowControl w:val="0"/>
        <w:spacing w:after="0"/>
        <w:rPr>
          <w:rFonts w:ascii="Times New Roman" w:hAnsi="Times New Roman"/>
          <w:color w:val="2E74B5"/>
          <w:lang w:val="x-none"/>
        </w:rPr>
      </w:pPr>
    </w:p>
    <w:p w14:paraId="2DB85322" w14:textId="77777777" w:rsidR="00603F3F" w:rsidRPr="00CD7FBE" w:rsidRDefault="00603F3F" w:rsidP="00603F3F">
      <w:pPr>
        <w:widowControl w:val="0"/>
        <w:spacing w:after="0"/>
        <w:rPr>
          <w:rFonts w:ascii="Times New Roman" w:hAnsi="Times New Roman"/>
          <w:color w:val="2E74B5"/>
          <w:lang w:val="x-none"/>
        </w:rPr>
      </w:pPr>
    </w:p>
    <w:p w14:paraId="135A0410" w14:textId="77777777" w:rsidR="00603F3F" w:rsidRPr="00CD7FBE" w:rsidRDefault="00603F3F" w:rsidP="00603F3F">
      <w:pPr>
        <w:widowControl w:val="0"/>
        <w:spacing w:after="0"/>
        <w:rPr>
          <w:rFonts w:ascii="Times New Roman" w:hAnsi="Times New Roman"/>
          <w:color w:val="2E74B5"/>
          <w:lang w:val="x-none"/>
        </w:rPr>
      </w:pPr>
    </w:p>
    <w:p w14:paraId="7F5AA2F0" w14:textId="77777777" w:rsidR="00603F3F" w:rsidRPr="00CD7FBE" w:rsidRDefault="00603F3F" w:rsidP="00603F3F">
      <w:pPr>
        <w:widowControl w:val="0"/>
        <w:spacing w:after="0"/>
        <w:rPr>
          <w:rFonts w:ascii="Times New Roman" w:hAnsi="Times New Roman"/>
          <w:color w:val="2E74B5"/>
          <w:lang w:val="x-none"/>
        </w:rPr>
      </w:pPr>
    </w:p>
    <w:p w14:paraId="5329DC2E" w14:textId="77777777" w:rsidR="00603F3F" w:rsidRPr="00CD7FBE" w:rsidRDefault="00603F3F" w:rsidP="00603F3F">
      <w:pPr>
        <w:widowControl w:val="0"/>
        <w:spacing w:after="0"/>
        <w:rPr>
          <w:rFonts w:ascii="Times New Roman" w:hAnsi="Times New Roman"/>
          <w:color w:val="2E74B5"/>
          <w:lang w:val="x-none"/>
        </w:rPr>
      </w:pPr>
    </w:p>
    <w:p w14:paraId="07F0A875" w14:textId="77777777" w:rsidR="00603F3F" w:rsidRPr="00CD7FBE" w:rsidRDefault="00603F3F" w:rsidP="00603F3F">
      <w:pPr>
        <w:widowControl w:val="0"/>
        <w:spacing w:after="0"/>
        <w:rPr>
          <w:rFonts w:ascii="Times New Roman" w:hAnsi="Times New Roman"/>
          <w:color w:val="2E74B5"/>
          <w:lang w:val="x-none"/>
        </w:rPr>
      </w:pPr>
    </w:p>
    <w:p w14:paraId="367B3884" w14:textId="77777777" w:rsidR="00603F3F" w:rsidRPr="00CD7FBE" w:rsidRDefault="00603F3F" w:rsidP="00603F3F">
      <w:pPr>
        <w:widowControl w:val="0"/>
        <w:spacing w:after="0"/>
        <w:rPr>
          <w:rFonts w:ascii="Times New Roman" w:hAnsi="Times New Roman"/>
          <w:color w:val="2E74B5"/>
          <w:lang w:val="x-none"/>
        </w:rPr>
      </w:pPr>
    </w:p>
    <w:p w14:paraId="3033F9A5" w14:textId="77777777" w:rsidR="00603F3F" w:rsidRPr="00CD7FBE" w:rsidRDefault="00603F3F" w:rsidP="00603F3F">
      <w:pPr>
        <w:widowControl w:val="0"/>
        <w:spacing w:after="0"/>
        <w:rPr>
          <w:rFonts w:ascii="Times New Roman" w:hAnsi="Times New Roman"/>
          <w:color w:val="2E74B5"/>
          <w:lang w:val="x-none"/>
        </w:rPr>
      </w:pPr>
    </w:p>
    <w:p w14:paraId="54FCF2AD" w14:textId="77777777" w:rsidR="00603F3F" w:rsidRPr="00CD7FBE" w:rsidRDefault="00603F3F" w:rsidP="00603F3F">
      <w:pPr>
        <w:widowControl w:val="0"/>
        <w:spacing w:after="0"/>
        <w:rPr>
          <w:rFonts w:ascii="Times New Roman" w:hAnsi="Times New Roman"/>
          <w:color w:val="2E74B5"/>
          <w:lang w:val="x-none"/>
        </w:rPr>
      </w:pPr>
    </w:p>
    <w:p w14:paraId="06F6B87C" w14:textId="77777777" w:rsidR="00603F3F" w:rsidRPr="00CD7FBE" w:rsidRDefault="00603F3F" w:rsidP="00603F3F">
      <w:pPr>
        <w:widowControl w:val="0"/>
        <w:spacing w:after="0"/>
        <w:rPr>
          <w:rFonts w:ascii="Times New Roman" w:hAnsi="Times New Roman"/>
          <w:color w:val="2E74B5"/>
          <w:lang w:val="x-none"/>
        </w:rPr>
      </w:pPr>
    </w:p>
    <w:p w14:paraId="42101429" w14:textId="77777777" w:rsidR="00603F3F" w:rsidRPr="00CD7FBE" w:rsidRDefault="00603F3F" w:rsidP="00603F3F">
      <w:pPr>
        <w:widowControl w:val="0"/>
        <w:spacing w:after="0"/>
        <w:rPr>
          <w:rFonts w:ascii="Times New Roman" w:hAnsi="Times New Roman"/>
          <w:color w:val="2E74B5"/>
          <w:lang w:val="x-none"/>
        </w:rPr>
      </w:pPr>
    </w:p>
    <w:p w14:paraId="7DE23BB0" w14:textId="77777777" w:rsidR="00603F3F" w:rsidRPr="00CD7FBE" w:rsidRDefault="00603F3F" w:rsidP="00603F3F">
      <w:pPr>
        <w:widowControl w:val="0"/>
        <w:spacing w:after="0"/>
        <w:rPr>
          <w:rFonts w:ascii="Times New Roman" w:hAnsi="Times New Roman"/>
          <w:color w:val="2E74B5"/>
          <w:lang w:val="x-none"/>
        </w:rPr>
      </w:pPr>
    </w:p>
    <w:p w14:paraId="6B18C41F" w14:textId="77777777" w:rsidR="00603F3F" w:rsidRPr="00CD7FBE" w:rsidRDefault="00603F3F" w:rsidP="00603F3F">
      <w:pPr>
        <w:widowControl w:val="0"/>
        <w:spacing w:after="0"/>
        <w:rPr>
          <w:rFonts w:ascii="Times New Roman" w:hAnsi="Times New Roman"/>
          <w:color w:val="2E74B5"/>
          <w:lang w:val="x-none"/>
        </w:rPr>
      </w:pPr>
    </w:p>
    <w:p w14:paraId="3028DCC3" w14:textId="77777777" w:rsidR="00603F3F" w:rsidRPr="00A040E3" w:rsidRDefault="00603F3F" w:rsidP="00603F3F">
      <w:pPr>
        <w:pStyle w:val="Titolo1"/>
        <w:keepNext w:val="0"/>
        <w:widowControl w:val="0"/>
        <w:rPr>
          <w:b w:val="0"/>
          <w:smallCaps/>
          <w:sz w:val="96"/>
          <w:szCs w:val="96"/>
        </w:rPr>
      </w:pPr>
      <w:bookmarkStart w:id="329" w:name="_Toc454796205"/>
      <w:bookmarkStart w:id="330" w:name="_Toc454796267"/>
      <w:bookmarkStart w:id="331" w:name="_Toc473547392"/>
      <w:bookmarkStart w:id="332" w:name="_Toc535854428"/>
      <w:r w:rsidRPr="00A040E3">
        <w:rPr>
          <w:b w:val="0"/>
          <w:smallCaps/>
          <w:sz w:val="96"/>
          <w:szCs w:val="96"/>
        </w:rPr>
        <w:t>Prevenzione della Corruzione</w:t>
      </w:r>
      <w:bookmarkEnd w:id="325"/>
      <w:bookmarkEnd w:id="326"/>
      <w:bookmarkEnd w:id="327"/>
      <w:bookmarkEnd w:id="328"/>
      <w:bookmarkEnd w:id="329"/>
      <w:bookmarkEnd w:id="330"/>
      <w:bookmarkEnd w:id="331"/>
      <w:bookmarkEnd w:id="332"/>
    </w:p>
    <w:p w14:paraId="2AA9F64A" w14:textId="77777777" w:rsidR="00603F3F" w:rsidRPr="00CD7FBE" w:rsidRDefault="00603F3F" w:rsidP="00603F3F">
      <w:pPr>
        <w:widowControl w:val="0"/>
        <w:spacing w:after="0"/>
        <w:jc w:val="center"/>
        <w:rPr>
          <w:rFonts w:ascii="Times New Roman" w:hAnsi="Times New Roman"/>
          <w:szCs w:val="20"/>
        </w:rPr>
      </w:pPr>
      <w:r w:rsidRPr="00CD7FBE">
        <w:rPr>
          <w:rFonts w:ascii="Times New Roman" w:hAnsi="Times New Roman"/>
          <w:b/>
          <w:sz w:val="20"/>
          <w:szCs w:val="20"/>
        </w:rPr>
        <w:br w:type="page"/>
      </w:r>
      <w:bookmarkStart w:id="333" w:name="_Toc410231326"/>
      <w:bookmarkStart w:id="334" w:name="_Toc410231643"/>
      <w:bookmarkStart w:id="335" w:name="_Toc410232827"/>
      <w:bookmarkStart w:id="336" w:name="_Toc418505918"/>
    </w:p>
    <w:p w14:paraId="555A395E" w14:textId="77777777" w:rsidR="00603F3F" w:rsidRPr="00DE2FB7" w:rsidRDefault="00603F3F" w:rsidP="003E3269">
      <w:pPr>
        <w:pStyle w:val="Titolo2"/>
        <w:keepNext w:val="0"/>
        <w:numPr>
          <w:ilvl w:val="0"/>
          <w:numId w:val="34"/>
        </w:numPr>
        <w:spacing w:line="276" w:lineRule="auto"/>
        <w:ind w:left="567" w:hanging="567"/>
        <w:rPr>
          <w:color w:val="0070C0"/>
        </w:rPr>
      </w:pPr>
      <w:bookmarkStart w:id="337" w:name="_Toc473547393"/>
      <w:bookmarkStart w:id="338" w:name="_Toc535854429"/>
      <w:bookmarkStart w:id="339" w:name="_Toc447031212"/>
      <w:bookmarkStart w:id="340" w:name="_Toc454796209"/>
      <w:bookmarkStart w:id="341" w:name="_Toc454796271"/>
      <w:bookmarkEnd w:id="333"/>
      <w:bookmarkEnd w:id="334"/>
      <w:bookmarkEnd w:id="335"/>
      <w:bookmarkEnd w:id="336"/>
      <w:r w:rsidRPr="00DE2FB7">
        <w:rPr>
          <w:color w:val="0070C0"/>
        </w:rPr>
        <w:t>Gli obiettivi, i destinatari ed i soggetti che concorrono alla prevenzione della corruzione.</w:t>
      </w:r>
      <w:bookmarkEnd w:id="337"/>
      <w:bookmarkEnd w:id="338"/>
    </w:p>
    <w:p w14:paraId="0157A5BE" w14:textId="77777777" w:rsidR="00603F3F" w:rsidRPr="0080666F" w:rsidRDefault="00603F3F" w:rsidP="003E3269">
      <w:pPr>
        <w:pStyle w:val="Titolo3"/>
        <w:keepNext w:val="0"/>
        <w:widowControl w:val="0"/>
        <w:numPr>
          <w:ilvl w:val="1"/>
          <w:numId w:val="31"/>
        </w:numPr>
        <w:spacing w:line="276" w:lineRule="auto"/>
        <w:ind w:left="567" w:hanging="567"/>
        <w:contextualSpacing w:val="0"/>
      </w:pPr>
      <w:bookmarkStart w:id="342" w:name="_Toc473547394"/>
      <w:bookmarkStart w:id="343" w:name="_Toc535854430"/>
      <w:r w:rsidRPr="0080666F">
        <w:t>Gli obiettivi</w:t>
      </w:r>
      <w:bookmarkEnd w:id="342"/>
      <w:bookmarkEnd w:id="343"/>
    </w:p>
    <w:p w14:paraId="4CD80A72" w14:textId="23A8991A"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L’implementazione del PTPCT si prefigge di rafforzare i principi di legalità, di correttezza e di trasparenza nella gestione delle attività svolte. Il rispetto delle disposizioni contenute nel PTPCT da parte dei soggetti destinatari individuati </w:t>
      </w:r>
      <w:r>
        <w:rPr>
          <w:rFonts w:ascii="Times New Roman" w:hAnsi="Times New Roman"/>
          <w:color w:val="000000"/>
          <w:sz w:val="20"/>
          <w:szCs w:val="20"/>
          <w:lang w:eastAsia="it-IT"/>
        </w:rPr>
        <w:t xml:space="preserve">al successivo paragrafo 1.1 </w:t>
      </w:r>
      <w:r w:rsidRPr="00CD7FBE">
        <w:rPr>
          <w:rFonts w:ascii="Times New Roman" w:hAnsi="Times New Roman"/>
          <w:color w:val="000000"/>
          <w:sz w:val="20"/>
          <w:szCs w:val="20"/>
          <w:lang w:eastAsia="it-IT"/>
        </w:rPr>
        <w:t xml:space="preserve">intende favorire l'attuazione di comportamenti individuali ispirati all’etica della responsabilità ed in linea con le diverse disposizioni di legge ed i principi di corretta amministrazione. Inoltre, il PTPCT si prefigge anche di: </w:t>
      </w:r>
    </w:p>
    <w:p w14:paraId="17158292" w14:textId="5FAEA9E3"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BE465B">
        <w:rPr>
          <w:rFonts w:ascii="Times New Roman" w:hAnsi="Times New Roman"/>
          <w:i/>
          <w:color w:val="000000"/>
          <w:sz w:val="20"/>
          <w:szCs w:val="20"/>
          <w:lang w:eastAsia="it-IT"/>
        </w:rPr>
        <w:t xml:space="preserve">determinare una piena consapevolezza che il manifestarsi di fenomeni di corruzione espone la società a gravi rischi soprattutto sul piano dell’immagine, e può produrre delle conseguenze sul piano penale a carico del soggetto che commette la violazione; </w:t>
      </w:r>
    </w:p>
    <w:p w14:paraId="2F3ED5A2" w14:textId="77777777"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w:t>
      </w:r>
      <w:r w:rsidRPr="00BE465B">
        <w:rPr>
          <w:rFonts w:ascii="Times New Roman" w:hAnsi="Times New Roman"/>
          <w:i/>
          <w:color w:val="000000"/>
          <w:sz w:val="20"/>
          <w:szCs w:val="20"/>
          <w:lang w:eastAsia="it-IT"/>
        </w:rPr>
        <w:tab/>
        <w:t xml:space="preserve">sensibilizzare tutti i soggetti destinatari ad impegnarsi attivamente e costantemente nell'attuare le misure di contenimento del rischio previste nel presente documento e nell'osservare le procedure e le regole interne; </w:t>
      </w:r>
    </w:p>
    <w:p w14:paraId="18968357" w14:textId="5C2AB3DB"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w:t>
      </w:r>
      <w:r w:rsidRPr="00BE465B">
        <w:rPr>
          <w:rFonts w:ascii="Times New Roman" w:hAnsi="Times New Roman"/>
          <w:i/>
          <w:color w:val="000000"/>
          <w:sz w:val="20"/>
          <w:szCs w:val="20"/>
          <w:lang w:eastAsia="it-IT"/>
        </w:rPr>
        <w:tab/>
        <w:t>assicurare la correttezza dei rapporti tra la società ed i soggetti che con la stessa intrattengono relazioni di qualsiasi genere, anche verificando eventuali situazioni che potrebbero dar luogo al manifestarsi di situazioni di conflitto d'interesse;</w:t>
      </w:r>
    </w:p>
    <w:p w14:paraId="61397220" w14:textId="77777777" w:rsidR="00603F3F" w:rsidRPr="00BE465B"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w:t>
      </w:r>
      <w:r w:rsidRPr="00BE465B">
        <w:rPr>
          <w:rFonts w:ascii="Times New Roman" w:hAnsi="Times New Roman"/>
          <w:i/>
          <w:color w:val="000000"/>
          <w:sz w:val="20"/>
          <w:szCs w:val="20"/>
          <w:lang w:eastAsia="it-IT"/>
        </w:rPr>
        <w:tab/>
        <w:t xml:space="preserve">coordinare le misure di prevenzione della corruzione con i controlli che devono essere attuati per vigilare sul rispetto delle disposizioni sulla inconferibilità e incompatibilità degli incarichi previste dal D. Lgs. 39/2013. </w:t>
      </w:r>
    </w:p>
    <w:p w14:paraId="5FE1F084" w14:textId="77777777"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Tutti i soggetti destinatari</w:t>
      </w:r>
      <w:r w:rsidRPr="00CD7FBE">
        <w:rPr>
          <w:rFonts w:ascii="Times New Roman" w:hAnsi="Times New Roman"/>
          <w:color w:val="000000"/>
          <w:sz w:val="20"/>
          <w:szCs w:val="20"/>
          <w:lang w:eastAsia="it-IT"/>
        </w:rPr>
        <w:t xml:space="preserve"> del PTPCT</w:t>
      </w:r>
      <w:r w:rsidRPr="00CD7FBE">
        <w:rPr>
          <w:rFonts w:ascii="Times New Roman" w:hAnsi="Times New Roman"/>
          <w:sz w:val="20"/>
          <w:szCs w:val="20"/>
        </w:rPr>
        <w:t xml:space="preserve"> sono obbligati a osservare scrupolosamente le norme e le disposizioni contenute nel presente piano.</w:t>
      </w:r>
    </w:p>
    <w:p w14:paraId="79D4E977" w14:textId="77777777" w:rsidR="00603F3F" w:rsidRPr="0080666F" w:rsidRDefault="00603F3F" w:rsidP="00603F3F">
      <w:pPr>
        <w:widowControl w:val="0"/>
        <w:autoSpaceDE w:val="0"/>
        <w:autoSpaceDN w:val="0"/>
        <w:adjustRightInd w:val="0"/>
        <w:spacing w:after="0"/>
        <w:jc w:val="both"/>
        <w:rPr>
          <w:rFonts w:ascii="Times New Roman" w:hAnsi="Times New Roman"/>
          <w:i/>
          <w:color w:val="000000"/>
          <w:sz w:val="20"/>
        </w:rPr>
      </w:pPr>
    </w:p>
    <w:p w14:paraId="780D818C" w14:textId="77777777" w:rsidR="00603F3F" w:rsidRPr="006615B7" w:rsidRDefault="00603F3F" w:rsidP="003E3269">
      <w:pPr>
        <w:pStyle w:val="Titolo3"/>
        <w:keepNext w:val="0"/>
        <w:widowControl w:val="0"/>
        <w:numPr>
          <w:ilvl w:val="1"/>
          <w:numId w:val="31"/>
        </w:numPr>
        <w:spacing w:line="276" w:lineRule="auto"/>
        <w:ind w:left="567" w:hanging="567"/>
        <w:contextualSpacing w:val="0"/>
      </w:pPr>
      <w:bookmarkStart w:id="344" w:name="_Toc499709209"/>
      <w:bookmarkStart w:id="345" w:name="_Toc499709382"/>
      <w:bookmarkStart w:id="346" w:name="_Toc499709567"/>
      <w:bookmarkStart w:id="347" w:name="_Toc499709751"/>
      <w:bookmarkStart w:id="348" w:name="_Toc499709935"/>
      <w:bookmarkStart w:id="349" w:name="_Toc499710121"/>
      <w:bookmarkStart w:id="350" w:name="_Toc499797179"/>
      <w:bookmarkStart w:id="351" w:name="_Toc499880394"/>
      <w:bookmarkStart w:id="352" w:name="_Toc499881263"/>
      <w:bookmarkStart w:id="353" w:name="_Toc499883459"/>
      <w:bookmarkStart w:id="354" w:name="_Toc499883675"/>
      <w:bookmarkStart w:id="355" w:name="_Toc499883891"/>
      <w:bookmarkStart w:id="356" w:name="_Toc499884081"/>
      <w:bookmarkStart w:id="357" w:name="_Toc500232328"/>
      <w:bookmarkStart w:id="358" w:name="_Toc499709210"/>
      <w:bookmarkStart w:id="359" w:name="_Toc499709383"/>
      <w:bookmarkStart w:id="360" w:name="_Toc499709568"/>
      <w:bookmarkStart w:id="361" w:name="_Toc499709752"/>
      <w:bookmarkStart w:id="362" w:name="_Toc499709936"/>
      <w:bookmarkStart w:id="363" w:name="_Toc499710122"/>
      <w:bookmarkStart w:id="364" w:name="_Toc499797180"/>
      <w:bookmarkStart w:id="365" w:name="_Toc499880395"/>
      <w:bookmarkStart w:id="366" w:name="_Toc499881264"/>
      <w:bookmarkStart w:id="367" w:name="_Toc499883460"/>
      <w:bookmarkStart w:id="368" w:name="_Toc499883676"/>
      <w:bookmarkStart w:id="369" w:name="_Toc499883892"/>
      <w:bookmarkStart w:id="370" w:name="_Toc499884082"/>
      <w:bookmarkStart w:id="371" w:name="_Toc500232329"/>
      <w:bookmarkStart w:id="372" w:name="_Toc499709211"/>
      <w:bookmarkStart w:id="373" w:name="_Toc499709384"/>
      <w:bookmarkStart w:id="374" w:name="_Toc499709569"/>
      <w:bookmarkStart w:id="375" w:name="_Toc499709753"/>
      <w:bookmarkStart w:id="376" w:name="_Toc499709937"/>
      <w:bookmarkStart w:id="377" w:name="_Toc499710123"/>
      <w:bookmarkStart w:id="378" w:name="_Toc499797181"/>
      <w:bookmarkStart w:id="379" w:name="_Toc499880396"/>
      <w:bookmarkStart w:id="380" w:name="_Toc499881265"/>
      <w:bookmarkStart w:id="381" w:name="_Toc499883461"/>
      <w:bookmarkStart w:id="382" w:name="_Toc499883677"/>
      <w:bookmarkStart w:id="383" w:name="_Toc499883893"/>
      <w:bookmarkStart w:id="384" w:name="_Toc499884083"/>
      <w:bookmarkStart w:id="385" w:name="_Toc500232330"/>
      <w:bookmarkStart w:id="386" w:name="_Toc499709212"/>
      <w:bookmarkStart w:id="387" w:name="_Toc499709385"/>
      <w:bookmarkStart w:id="388" w:name="_Toc499709570"/>
      <w:bookmarkStart w:id="389" w:name="_Toc499709754"/>
      <w:bookmarkStart w:id="390" w:name="_Toc499709938"/>
      <w:bookmarkStart w:id="391" w:name="_Toc499710124"/>
      <w:bookmarkStart w:id="392" w:name="_Toc499797182"/>
      <w:bookmarkStart w:id="393" w:name="_Toc499880397"/>
      <w:bookmarkStart w:id="394" w:name="_Toc499881266"/>
      <w:bookmarkStart w:id="395" w:name="_Toc499883462"/>
      <w:bookmarkStart w:id="396" w:name="_Toc499883678"/>
      <w:bookmarkStart w:id="397" w:name="_Toc499883894"/>
      <w:bookmarkStart w:id="398" w:name="_Toc499884084"/>
      <w:bookmarkStart w:id="399" w:name="_Toc500232331"/>
      <w:bookmarkStart w:id="400" w:name="_Toc499709213"/>
      <w:bookmarkStart w:id="401" w:name="_Toc499709386"/>
      <w:bookmarkStart w:id="402" w:name="_Toc499709571"/>
      <w:bookmarkStart w:id="403" w:name="_Toc499709755"/>
      <w:bookmarkStart w:id="404" w:name="_Toc499709939"/>
      <w:bookmarkStart w:id="405" w:name="_Toc499710125"/>
      <w:bookmarkStart w:id="406" w:name="_Toc499797183"/>
      <w:bookmarkStart w:id="407" w:name="_Toc499880398"/>
      <w:bookmarkStart w:id="408" w:name="_Toc499881267"/>
      <w:bookmarkStart w:id="409" w:name="_Toc499883463"/>
      <w:bookmarkStart w:id="410" w:name="_Toc499883679"/>
      <w:bookmarkStart w:id="411" w:name="_Toc499883895"/>
      <w:bookmarkStart w:id="412" w:name="_Toc499884085"/>
      <w:bookmarkStart w:id="413" w:name="_Toc500232332"/>
      <w:bookmarkStart w:id="414" w:name="_Toc499709214"/>
      <w:bookmarkStart w:id="415" w:name="_Toc499709387"/>
      <w:bookmarkStart w:id="416" w:name="_Toc499709572"/>
      <w:bookmarkStart w:id="417" w:name="_Toc499709756"/>
      <w:bookmarkStart w:id="418" w:name="_Toc499709940"/>
      <w:bookmarkStart w:id="419" w:name="_Toc499710126"/>
      <w:bookmarkStart w:id="420" w:name="_Toc499797184"/>
      <w:bookmarkStart w:id="421" w:name="_Toc499880399"/>
      <w:bookmarkStart w:id="422" w:name="_Toc499881268"/>
      <w:bookmarkStart w:id="423" w:name="_Toc499883464"/>
      <w:bookmarkStart w:id="424" w:name="_Toc499883680"/>
      <w:bookmarkStart w:id="425" w:name="_Toc499883896"/>
      <w:bookmarkStart w:id="426" w:name="_Toc499884086"/>
      <w:bookmarkStart w:id="427" w:name="_Toc500232333"/>
      <w:bookmarkStart w:id="428" w:name="_Toc499709215"/>
      <w:bookmarkStart w:id="429" w:name="_Toc499709388"/>
      <w:bookmarkStart w:id="430" w:name="_Toc499709573"/>
      <w:bookmarkStart w:id="431" w:name="_Toc499709757"/>
      <w:bookmarkStart w:id="432" w:name="_Toc499709941"/>
      <w:bookmarkStart w:id="433" w:name="_Toc499710127"/>
      <w:bookmarkStart w:id="434" w:name="_Toc499797185"/>
      <w:bookmarkStart w:id="435" w:name="_Toc499880400"/>
      <w:bookmarkStart w:id="436" w:name="_Toc499881269"/>
      <w:bookmarkStart w:id="437" w:name="_Toc499883465"/>
      <w:bookmarkStart w:id="438" w:name="_Toc499883681"/>
      <w:bookmarkStart w:id="439" w:name="_Toc499883897"/>
      <w:bookmarkStart w:id="440" w:name="_Toc499884087"/>
      <w:bookmarkStart w:id="441" w:name="_Toc500232334"/>
      <w:bookmarkStart w:id="442" w:name="_Toc499709216"/>
      <w:bookmarkStart w:id="443" w:name="_Toc499709389"/>
      <w:bookmarkStart w:id="444" w:name="_Toc499709574"/>
      <w:bookmarkStart w:id="445" w:name="_Toc499709758"/>
      <w:bookmarkStart w:id="446" w:name="_Toc499709942"/>
      <w:bookmarkStart w:id="447" w:name="_Toc499710128"/>
      <w:bookmarkStart w:id="448" w:name="_Toc499797186"/>
      <w:bookmarkStart w:id="449" w:name="_Toc499880401"/>
      <w:bookmarkStart w:id="450" w:name="_Toc499881270"/>
      <w:bookmarkStart w:id="451" w:name="_Toc499883466"/>
      <w:bookmarkStart w:id="452" w:name="_Toc499883682"/>
      <w:bookmarkStart w:id="453" w:name="_Toc499883898"/>
      <w:bookmarkStart w:id="454" w:name="_Toc499884088"/>
      <w:bookmarkStart w:id="455" w:name="_Toc500232335"/>
      <w:bookmarkStart w:id="456" w:name="_Toc499709217"/>
      <w:bookmarkStart w:id="457" w:name="_Toc499709390"/>
      <w:bookmarkStart w:id="458" w:name="_Toc499709575"/>
      <w:bookmarkStart w:id="459" w:name="_Toc499709759"/>
      <w:bookmarkStart w:id="460" w:name="_Toc499709943"/>
      <w:bookmarkStart w:id="461" w:name="_Toc499710129"/>
      <w:bookmarkStart w:id="462" w:name="_Toc499797187"/>
      <w:bookmarkStart w:id="463" w:name="_Toc499880402"/>
      <w:bookmarkStart w:id="464" w:name="_Toc499881271"/>
      <w:bookmarkStart w:id="465" w:name="_Toc499883467"/>
      <w:bookmarkStart w:id="466" w:name="_Toc499883683"/>
      <w:bookmarkStart w:id="467" w:name="_Toc499883899"/>
      <w:bookmarkStart w:id="468" w:name="_Toc499884089"/>
      <w:bookmarkStart w:id="469" w:name="_Toc500232336"/>
      <w:bookmarkStart w:id="470" w:name="_Toc535854431"/>
      <w:bookmarkStart w:id="471" w:name="_Toc410231329"/>
      <w:bookmarkStart w:id="472" w:name="_Toc410231646"/>
      <w:bookmarkStart w:id="473" w:name="_Toc410232830"/>
      <w:bookmarkStart w:id="474" w:name="_Toc418505921"/>
      <w:bookmarkStart w:id="475" w:name="_Toc454796215"/>
      <w:bookmarkStart w:id="476" w:name="_Toc454796277"/>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sidRPr="006615B7">
        <w:t>I destinatari</w:t>
      </w:r>
      <w:bookmarkEnd w:id="470"/>
      <w:r w:rsidRPr="006615B7">
        <w:t xml:space="preserve"> </w:t>
      </w:r>
    </w:p>
    <w:p w14:paraId="392FD9DC" w14:textId="77777777"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In riferimento alle indicazioni contenute nella Legge 190/2012 e nel PNA sono individuati come destinatari del PTPCT:</w:t>
      </w:r>
    </w:p>
    <w:p w14:paraId="7BC5AC74" w14:textId="07BAE454" w:rsidR="00603F3F" w:rsidRPr="00BE465B" w:rsidRDefault="00603F3F" w:rsidP="00603F3F">
      <w:pPr>
        <w:widowControl w:val="0"/>
        <w:spacing w:after="0"/>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 xml:space="preserve">- </w:t>
      </w:r>
      <w:r w:rsidR="00DE2FB7" w:rsidRPr="00BE465B">
        <w:rPr>
          <w:rFonts w:ascii="Times New Roman" w:hAnsi="Times New Roman"/>
          <w:i/>
          <w:color w:val="000000"/>
          <w:sz w:val="20"/>
          <w:szCs w:val="20"/>
          <w:lang w:eastAsia="it-IT"/>
        </w:rPr>
        <w:t>l’Amministratore Unico</w:t>
      </w:r>
      <w:r w:rsidRPr="00BE465B">
        <w:rPr>
          <w:rFonts w:ascii="Times New Roman" w:hAnsi="Times New Roman"/>
          <w:i/>
          <w:color w:val="000000"/>
          <w:sz w:val="20"/>
          <w:szCs w:val="20"/>
          <w:lang w:eastAsia="it-IT"/>
        </w:rPr>
        <w:t>;</w:t>
      </w:r>
    </w:p>
    <w:p w14:paraId="6975CEAE"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il Collegio Sindacale;</w:t>
      </w:r>
    </w:p>
    <w:p w14:paraId="6786E2D1"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il Revisore dei Conti;</w:t>
      </w:r>
    </w:p>
    <w:p w14:paraId="3CB86490"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il personale (</w:t>
      </w:r>
      <w:r w:rsidRPr="00BE465B">
        <w:rPr>
          <w:rStyle w:val="Rimandonotadichiusura"/>
          <w:rFonts w:ascii="Times New Roman" w:hAnsi="Times New Roman"/>
          <w:i/>
          <w:color w:val="000000"/>
          <w:sz w:val="20"/>
          <w:szCs w:val="20"/>
          <w:lang w:eastAsia="it-IT"/>
        </w:rPr>
        <w:endnoteReference w:id="30"/>
      </w:r>
      <w:r w:rsidRPr="00BE465B">
        <w:rPr>
          <w:rFonts w:ascii="Times New Roman" w:hAnsi="Times New Roman"/>
          <w:i/>
          <w:color w:val="000000"/>
          <w:sz w:val="20"/>
          <w:szCs w:val="20"/>
          <w:lang w:eastAsia="it-IT"/>
        </w:rPr>
        <w:t>);</w:t>
      </w:r>
    </w:p>
    <w:p w14:paraId="08F6ACBA"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gli esperti ed i consulenti;</w:t>
      </w:r>
    </w:p>
    <w:p w14:paraId="7A4D08D3" w14:textId="77777777" w:rsidR="00603F3F" w:rsidRPr="00BE465B" w:rsidRDefault="00603F3F" w:rsidP="00603F3F">
      <w:pPr>
        <w:widowControl w:val="0"/>
        <w:spacing w:after="0"/>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i titolari di contratti per lavori, servizi e forniture.</w:t>
      </w:r>
    </w:p>
    <w:p w14:paraId="78587BC3" w14:textId="77777777" w:rsidR="00603F3F" w:rsidRPr="0098717B" w:rsidRDefault="00603F3F" w:rsidP="00603F3F">
      <w:pPr>
        <w:widowControl w:val="0"/>
        <w:spacing w:after="0"/>
        <w:jc w:val="both"/>
        <w:rPr>
          <w:rFonts w:ascii="Times New Roman" w:hAnsi="Times New Roman"/>
          <w:color w:val="000000"/>
          <w:sz w:val="20"/>
          <w:szCs w:val="20"/>
          <w:lang w:eastAsia="it-IT"/>
        </w:rPr>
      </w:pPr>
    </w:p>
    <w:p w14:paraId="7590E471" w14:textId="77777777" w:rsidR="00603F3F" w:rsidRPr="0080666F" w:rsidRDefault="00603F3F" w:rsidP="003E3269">
      <w:pPr>
        <w:pStyle w:val="Titolo3"/>
        <w:keepNext w:val="0"/>
        <w:widowControl w:val="0"/>
        <w:numPr>
          <w:ilvl w:val="1"/>
          <w:numId w:val="31"/>
        </w:numPr>
        <w:spacing w:line="276" w:lineRule="auto"/>
        <w:ind w:left="567" w:hanging="567"/>
        <w:contextualSpacing w:val="0"/>
      </w:pPr>
      <w:bookmarkStart w:id="477" w:name="_Toc473547396"/>
      <w:bookmarkStart w:id="478" w:name="_Toc535854432"/>
      <w:bookmarkEnd w:id="471"/>
      <w:bookmarkEnd w:id="472"/>
      <w:bookmarkEnd w:id="473"/>
      <w:bookmarkEnd w:id="474"/>
      <w:bookmarkEnd w:id="475"/>
      <w:bookmarkEnd w:id="476"/>
      <w:r w:rsidRPr="0080666F">
        <w:t>I soggetti che concorrono alla prevenzione della corruzione</w:t>
      </w:r>
      <w:bookmarkEnd w:id="339"/>
      <w:bookmarkEnd w:id="340"/>
      <w:bookmarkEnd w:id="341"/>
      <w:bookmarkEnd w:id="477"/>
      <w:bookmarkEnd w:id="478"/>
      <w:r w:rsidRPr="0080666F">
        <w:t xml:space="preserve"> </w:t>
      </w:r>
    </w:p>
    <w:p w14:paraId="5298C5F3" w14:textId="77777777"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Concorrono alla prevenzione della corruzione:</w:t>
      </w:r>
    </w:p>
    <w:p w14:paraId="02ABCC1E" w14:textId="77777777"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Pr>
          <w:rFonts w:ascii="Times New Roman" w:hAnsi="Times New Roman"/>
          <w:color w:val="000000"/>
          <w:sz w:val="20"/>
          <w:szCs w:val="20"/>
          <w:lang w:eastAsia="it-IT"/>
        </w:rPr>
        <w:t xml:space="preserve">- </w:t>
      </w:r>
      <w:r w:rsidRPr="00BE465B">
        <w:rPr>
          <w:rFonts w:ascii="Times New Roman" w:hAnsi="Times New Roman"/>
          <w:i/>
          <w:color w:val="000000"/>
          <w:sz w:val="20"/>
          <w:szCs w:val="20"/>
          <w:lang w:eastAsia="it-IT"/>
        </w:rPr>
        <w:t>L’Amministratore Unico;</w:t>
      </w:r>
    </w:p>
    <w:p w14:paraId="275BC014" w14:textId="77777777"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Il Responsabile della prevenzione della Corruzione e della Trasparenza</w:t>
      </w:r>
      <w:r w:rsidRPr="00BE465B">
        <w:rPr>
          <w:rFonts w:ascii="Times New Roman" w:hAnsi="Times New Roman"/>
          <w:i/>
          <w:color w:val="000000"/>
          <w:sz w:val="20"/>
          <w:szCs w:val="20"/>
          <w:lang w:eastAsia="it-IT"/>
        </w:rPr>
        <w:t>;</w:t>
      </w:r>
    </w:p>
    <w:p w14:paraId="0505E31B" w14:textId="1B7E7B81"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L’Organismo di Vigilanza di cui al D.</w:t>
      </w:r>
      <w:r w:rsidR="00816AE7" w:rsidRPr="00BE465B">
        <w:rPr>
          <w:rFonts w:ascii="Times New Roman" w:hAnsi="Times New Roman"/>
          <w:i/>
          <w:color w:val="000000"/>
          <w:sz w:val="20"/>
          <w:szCs w:val="20"/>
          <w:lang w:eastAsia="it-IT"/>
        </w:rPr>
        <w:t xml:space="preserve"> </w:t>
      </w:r>
      <w:r w:rsidRPr="00BE465B">
        <w:rPr>
          <w:rFonts w:ascii="Times New Roman" w:hAnsi="Times New Roman"/>
          <w:i/>
          <w:color w:val="000000"/>
          <w:sz w:val="20"/>
          <w:szCs w:val="20"/>
          <w:lang w:eastAsia="it-IT"/>
        </w:rPr>
        <w:t>Lgs 231/2001;</w:t>
      </w:r>
    </w:p>
    <w:p w14:paraId="3E5D66E5" w14:textId="77777777" w:rsidR="00DE2FB7"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Il Gruppo permanente di lavoro per il PTPCT</w:t>
      </w:r>
      <w:r w:rsidRPr="00BE465B">
        <w:rPr>
          <w:rFonts w:ascii="Times New Roman" w:hAnsi="Times New Roman"/>
          <w:i/>
          <w:color w:val="000000"/>
          <w:sz w:val="20"/>
          <w:szCs w:val="20"/>
          <w:lang w:eastAsia="it-IT"/>
        </w:rPr>
        <w:t>;</w:t>
      </w:r>
    </w:p>
    <w:p w14:paraId="18257754" w14:textId="4DC910C9" w:rsidR="00603F3F"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I</w:t>
      </w:r>
      <w:r w:rsidRPr="00BE465B">
        <w:rPr>
          <w:rFonts w:ascii="Times New Roman" w:hAnsi="Times New Roman"/>
          <w:i/>
          <w:color w:val="000000"/>
          <w:sz w:val="20"/>
          <w:szCs w:val="20"/>
          <w:lang w:eastAsia="it-IT"/>
        </w:rPr>
        <w:t>l Direttore</w:t>
      </w:r>
      <w:r w:rsidR="00603F3F" w:rsidRPr="00BE465B">
        <w:rPr>
          <w:rFonts w:ascii="Times New Roman" w:hAnsi="Times New Roman"/>
          <w:i/>
          <w:color w:val="000000"/>
          <w:sz w:val="20"/>
          <w:szCs w:val="20"/>
          <w:lang w:eastAsia="it-IT"/>
        </w:rPr>
        <w:t>, i Res</w:t>
      </w:r>
      <w:r w:rsidRPr="00BE465B">
        <w:rPr>
          <w:rFonts w:ascii="Times New Roman" w:hAnsi="Times New Roman"/>
          <w:i/>
          <w:color w:val="000000"/>
          <w:sz w:val="20"/>
          <w:szCs w:val="20"/>
          <w:lang w:eastAsia="it-IT"/>
        </w:rPr>
        <w:t xml:space="preserve">ponsabili di </w:t>
      </w:r>
      <w:r w:rsidR="003A0136">
        <w:rPr>
          <w:rFonts w:ascii="Times New Roman" w:hAnsi="Times New Roman"/>
          <w:i/>
          <w:color w:val="000000"/>
          <w:sz w:val="20"/>
          <w:szCs w:val="20"/>
          <w:lang w:eastAsia="it-IT"/>
        </w:rPr>
        <w:t>Settore</w:t>
      </w:r>
      <w:r w:rsidRPr="00BE465B">
        <w:rPr>
          <w:rFonts w:ascii="Times New Roman" w:hAnsi="Times New Roman"/>
          <w:i/>
          <w:color w:val="000000"/>
          <w:sz w:val="20"/>
          <w:szCs w:val="20"/>
          <w:lang w:eastAsia="it-IT"/>
        </w:rPr>
        <w:t xml:space="preserve"> o di Ufficio </w:t>
      </w:r>
      <w:r w:rsidR="00603F3F" w:rsidRPr="00BE465B">
        <w:rPr>
          <w:rFonts w:ascii="Times New Roman" w:hAnsi="Times New Roman"/>
          <w:i/>
          <w:color w:val="000000"/>
          <w:sz w:val="20"/>
          <w:szCs w:val="20"/>
          <w:lang w:eastAsia="it-IT"/>
        </w:rPr>
        <w:t>ed i Coordinatori di funzione o di servizio/progetto</w:t>
      </w:r>
    </w:p>
    <w:p w14:paraId="705F940D" w14:textId="4C57DA64" w:rsidR="00603F3F" w:rsidRPr="00BE465B" w:rsidRDefault="00DE2FB7" w:rsidP="00DE2FB7">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 </w:t>
      </w:r>
      <w:r w:rsidR="00603F3F" w:rsidRPr="00BE465B">
        <w:rPr>
          <w:rFonts w:ascii="Times New Roman" w:hAnsi="Times New Roman"/>
          <w:i/>
          <w:color w:val="000000"/>
          <w:sz w:val="20"/>
          <w:szCs w:val="20"/>
          <w:lang w:eastAsia="it-IT"/>
        </w:rPr>
        <w:t xml:space="preserve">I dipendenti </w:t>
      </w:r>
    </w:p>
    <w:p w14:paraId="1DBF9BF4" w14:textId="77777777" w:rsidR="00603F3F" w:rsidRDefault="00603F3F" w:rsidP="00603F3F">
      <w:pPr>
        <w:widowControl w:val="0"/>
        <w:spacing w:after="0"/>
        <w:jc w:val="both"/>
        <w:rPr>
          <w:rFonts w:ascii="Times New Roman" w:hAnsi="Times New Roman"/>
          <w:color w:val="000000"/>
          <w:sz w:val="20"/>
          <w:szCs w:val="20"/>
          <w:lang w:eastAsia="it-IT"/>
        </w:rPr>
      </w:pPr>
    </w:p>
    <w:p w14:paraId="5ACEA267" w14:textId="39D62CC6" w:rsidR="00603F3F" w:rsidRPr="00DE2FB7" w:rsidRDefault="00603F3F" w:rsidP="00603F3F">
      <w:pPr>
        <w:pStyle w:val="Titolo4"/>
        <w:keepNext w:val="0"/>
        <w:widowControl w:val="0"/>
        <w:rPr>
          <w:b/>
          <w:color w:val="5B9BD5" w:themeColor="accent1"/>
        </w:rPr>
      </w:pPr>
      <w:bookmarkStart w:id="479" w:name="punto4.1"/>
      <w:bookmarkStart w:id="480" w:name="_Toc447031213"/>
      <w:bookmarkStart w:id="481" w:name="_Toc454796210"/>
      <w:bookmarkStart w:id="482" w:name="_Toc454796272"/>
      <w:bookmarkStart w:id="483" w:name="_Toc473547397"/>
      <w:bookmarkStart w:id="484" w:name="_Toc535854433"/>
      <w:bookmarkEnd w:id="479"/>
      <w:r w:rsidRPr="006A79DC">
        <w:rPr>
          <w:b/>
        </w:rPr>
        <w:t>1</w:t>
      </w:r>
      <w:r w:rsidRPr="006A79DC">
        <w:rPr>
          <w:b/>
          <w:lang w:val="it-IT"/>
        </w:rPr>
        <w:t>.3.1.</w:t>
      </w:r>
      <w:r w:rsidRPr="006A79DC">
        <w:rPr>
          <w:b/>
        </w:rPr>
        <w:t xml:space="preserve"> </w:t>
      </w:r>
      <w:r w:rsidRPr="00A95163">
        <w:rPr>
          <w:b/>
          <w:color w:val="5B9BD5" w:themeColor="accent1"/>
        </w:rPr>
        <w:tab/>
      </w:r>
      <w:bookmarkEnd w:id="480"/>
      <w:bookmarkEnd w:id="481"/>
      <w:bookmarkEnd w:id="482"/>
      <w:bookmarkEnd w:id="483"/>
      <w:bookmarkEnd w:id="484"/>
      <w:r w:rsidR="00300FB5">
        <w:rPr>
          <w:b/>
          <w:lang w:val="it-IT"/>
        </w:rPr>
        <w:t>L’Amministratore Unico</w:t>
      </w:r>
      <w:r w:rsidRPr="006A79DC">
        <w:rPr>
          <w:b/>
        </w:rPr>
        <w:t xml:space="preserve"> </w:t>
      </w:r>
    </w:p>
    <w:p w14:paraId="44391D3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Nel</w:t>
      </w:r>
      <w:r w:rsidRPr="00CD7FBE">
        <w:rPr>
          <w:rFonts w:ascii="Times New Roman" w:hAnsi="Times New Roman"/>
          <w:color w:val="000000"/>
          <w:sz w:val="20"/>
          <w:szCs w:val="20"/>
          <w:lang w:eastAsia="it-IT"/>
        </w:rPr>
        <w:t xml:space="preserve"> sistema di prevenzione della corruzione </w:t>
      </w:r>
      <w:r>
        <w:rPr>
          <w:rFonts w:ascii="Times New Roman" w:hAnsi="Times New Roman"/>
          <w:color w:val="000000"/>
          <w:sz w:val="20"/>
          <w:szCs w:val="20"/>
          <w:lang w:eastAsia="it-IT"/>
        </w:rPr>
        <w:t>in quanto O</w:t>
      </w:r>
      <w:r w:rsidRPr="00CD7FBE">
        <w:rPr>
          <w:rFonts w:ascii="Times New Roman" w:hAnsi="Times New Roman"/>
          <w:color w:val="000000"/>
          <w:sz w:val="20"/>
          <w:szCs w:val="20"/>
          <w:lang w:eastAsia="it-IT"/>
        </w:rPr>
        <w:t>rgano di indirizzo politico</w:t>
      </w:r>
    </w:p>
    <w:p w14:paraId="5E21971F" w14:textId="77777777" w:rsidR="00603F3F" w:rsidRPr="00BE465B" w:rsidRDefault="00603F3F" w:rsidP="003E3269">
      <w:pPr>
        <w:widowControl w:val="0"/>
        <w:numPr>
          <w:ilvl w:val="0"/>
          <w:numId w:val="6"/>
        </w:numPr>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 xml:space="preserve">individua il Responsabile della prevenzione della corruzione e della trasparenza assicurando allo stesso funzioni e poteri idonei per lo svolgimento dell'incarico con piena autonomia ed effettività; </w:t>
      </w:r>
    </w:p>
    <w:p w14:paraId="49AF748D" w14:textId="77777777" w:rsidR="00603F3F" w:rsidRPr="00BE465B" w:rsidRDefault="00603F3F" w:rsidP="003E3269">
      <w:pPr>
        <w:widowControl w:val="0"/>
        <w:numPr>
          <w:ilvl w:val="0"/>
          <w:numId w:val="6"/>
        </w:numPr>
        <w:autoSpaceDE w:val="0"/>
        <w:autoSpaceDN w:val="0"/>
        <w:adjustRightInd w:val="0"/>
        <w:spacing w:after="0"/>
        <w:ind w:left="284" w:hanging="284"/>
        <w:jc w:val="both"/>
        <w:rPr>
          <w:rFonts w:ascii="Times New Roman" w:hAnsi="Times New Roman"/>
          <w:i/>
          <w:color w:val="000000"/>
          <w:sz w:val="20"/>
          <w:szCs w:val="20"/>
          <w:lang w:eastAsia="it-IT"/>
        </w:rPr>
      </w:pPr>
      <w:r w:rsidRPr="00BE465B">
        <w:rPr>
          <w:rFonts w:ascii="Times New Roman" w:hAnsi="Times New Roman"/>
          <w:i/>
          <w:color w:val="000000"/>
          <w:sz w:val="20"/>
          <w:szCs w:val="20"/>
          <w:lang w:eastAsia="it-IT"/>
        </w:rPr>
        <w:t>definisce gli obiettivi strategici in materia di prevenzione della corruzione e trasparenza, che costituiscono contenuto necessario dei documenti di programmazione strategico-gestionale e del Piano triennale per la prevenzione della corruzione;</w:t>
      </w:r>
    </w:p>
    <w:p w14:paraId="6B171B76" w14:textId="77777777" w:rsidR="00603F3F" w:rsidRPr="00CD7FBE" w:rsidRDefault="00603F3F" w:rsidP="003E3269">
      <w:pPr>
        <w:widowControl w:val="0"/>
        <w:numPr>
          <w:ilvl w:val="0"/>
          <w:numId w:val="6"/>
        </w:numPr>
        <w:autoSpaceDE w:val="0"/>
        <w:autoSpaceDN w:val="0"/>
        <w:adjustRightInd w:val="0"/>
        <w:spacing w:after="0"/>
        <w:ind w:left="284" w:hanging="284"/>
        <w:jc w:val="both"/>
        <w:rPr>
          <w:rFonts w:ascii="Times New Roman" w:hAnsi="Times New Roman"/>
          <w:color w:val="000000"/>
          <w:sz w:val="20"/>
          <w:szCs w:val="20"/>
          <w:lang w:eastAsia="it-IT"/>
        </w:rPr>
      </w:pPr>
      <w:r w:rsidRPr="00BE465B">
        <w:rPr>
          <w:rFonts w:ascii="Times New Roman" w:hAnsi="Times New Roman"/>
          <w:i/>
          <w:color w:val="000000"/>
          <w:sz w:val="20"/>
          <w:szCs w:val="20"/>
          <w:lang w:eastAsia="it-IT"/>
        </w:rPr>
        <w:t>adotta, su proposta del RPCT, entro il 31 gennaio di ogni anno, il Piano triennale per la prevenzione della corruzione nonché gli aggiornamenti e tutti gli atti di indirizzo generale che siano direttamente o indirettamente</w:t>
      </w:r>
      <w:r w:rsidRPr="00CD7FBE">
        <w:rPr>
          <w:rFonts w:ascii="Times New Roman" w:hAnsi="Times New Roman"/>
          <w:color w:val="000000"/>
          <w:sz w:val="20"/>
          <w:szCs w:val="20"/>
          <w:lang w:eastAsia="it-IT"/>
        </w:rPr>
        <w:t xml:space="preserve"> finalizzati alla prevenzione della corruzione.</w:t>
      </w:r>
    </w:p>
    <w:p w14:paraId="708580B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CA6E5D5" w14:textId="77777777" w:rsidR="00603F3F" w:rsidRPr="006A79DC" w:rsidRDefault="00603F3F" w:rsidP="00603F3F">
      <w:pPr>
        <w:pStyle w:val="Titolo4"/>
        <w:keepNext w:val="0"/>
        <w:widowControl w:val="0"/>
      </w:pPr>
      <w:bookmarkStart w:id="485" w:name="punto4.2"/>
      <w:bookmarkStart w:id="486" w:name="_Toc447031214"/>
      <w:bookmarkStart w:id="487" w:name="_Toc454796211"/>
      <w:bookmarkStart w:id="488" w:name="_Toc454796273"/>
      <w:bookmarkStart w:id="489" w:name="_Toc473547398"/>
      <w:bookmarkStart w:id="490" w:name="_Toc535854434"/>
      <w:bookmarkEnd w:id="485"/>
      <w:r w:rsidRPr="006A79DC">
        <w:rPr>
          <w:b/>
        </w:rPr>
        <w:t>1.3.2.</w:t>
      </w:r>
      <w:r w:rsidRPr="006A79DC">
        <w:t xml:space="preserve"> </w:t>
      </w:r>
      <w:r w:rsidRPr="006A79DC">
        <w:tab/>
      </w:r>
      <w:r w:rsidRPr="006A79DC">
        <w:rPr>
          <w:b/>
        </w:rPr>
        <w:t>Il Responsabile della prevenzione</w:t>
      </w:r>
      <w:bookmarkEnd w:id="486"/>
      <w:r w:rsidRPr="006A79DC">
        <w:rPr>
          <w:b/>
        </w:rPr>
        <w:t xml:space="preserve"> della Corruzione e della Trasparenza</w:t>
      </w:r>
      <w:bookmarkEnd w:id="487"/>
      <w:bookmarkEnd w:id="488"/>
      <w:bookmarkEnd w:id="489"/>
      <w:bookmarkEnd w:id="490"/>
    </w:p>
    <w:p w14:paraId="690FB5E1" w14:textId="39BF00C3" w:rsidR="00603F3F" w:rsidRPr="007F208B" w:rsidRDefault="00603F3F" w:rsidP="003E3269">
      <w:pPr>
        <w:pStyle w:val="Default"/>
        <w:widowControl w:val="0"/>
        <w:numPr>
          <w:ilvl w:val="0"/>
          <w:numId w:val="44"/>
        </w:numPr>
        <w:spacing w:line="276" w:lineRule="auto"/>
        <w:ind w:left="284" w:hanging="284"/>
        <w:jc w:val="both"/>
        <w:rPr>
          <w:rFonts w:ascii="Times New Roman" w:hAnsi="Times New Roman" w:cs="Times New Roman"/>
          <w:sz w:val="20"/>
          <w:szCs w:val="20"/>
        </w:rPr>
      </w:pPr>
      <w:r w:rsidRPr="000B7133">
        <w:rPr>
          <w:rFonts w:ascii="Times New Roman" w:hAnsi="Times New Roman" w:cs="Times New Roman"/>
          <w:sz w:val="20"/>
          <w:szCs w:val="20"/>
        </w:rPr>
        <w:t>Criteri</w:t>
      </w:r>
      <w:r w:rsidRPr="007F208B">
        <w:rPr>
          <w:rFonts w:ascii="Times New Roman" w:hAnsi="Times New Roman" w:cs="Times New Roman"/>
          <w:sz w:val="20"/>
          <w:szCs w:val="20"/>
        </w:rPr>
        <w:t xml:space="preserve"> di scelta del RPCT</w:t>
      </w:r>
    </w:p>
    <w:p w14:paraId="6EBD1682" w14:textId="766AECDB"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88707D">
        <w:rPr>
          <w:rFonts w:ascii="Times New Roman" w:hAnsi="Times New Roman" w:cs="Times New Roman"/>
          <w:sz w:val="20"/>
          <w:szCs w:val="20"/>
        </w:rPr>
        <w:t>L’art 1, co. 7, l. 190/2012 stabilisce che l’organo di indirizzo individua il RPCT, di norma, tra i  di ruolo in servizio, disponendo le eventuali modifiche organizzative necessarie per assicurare funzioni e poteri idonei per lo svolgimento dell'incarico con piena autonomia ed effettività.</w:t>
      </w:r>
    </w:p>
    <w:p w14:paraId="1A4D4665" w14:textId="5E6C9DD2" w:rsidR="00603F3F" w:rsidRPr="0088707D" w:rsidRDefault="00603F3F" w:rsidP="003E3269">
      <w:pPr>
        <w:pStyle w:val="Default"/>
        <w:widowControl w:val="0"/>
        <w:numPr>
          <w:ilvl w:val="0"/>
          <w:numId w:val="44"/>
        </w:numPr>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Compiti e poteri del RPCT</w:t>
      </w:r>
    </w:p>
    <w:p w14:paraId="39CC0CFF" w14:textId="150C3D55" w:rsidR="00603F3F" w:rsidRPr="00CD7FBE"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I</w:t>
      </w:r>
      <w:r w:rsidRPr="00CD7FBE">
        <w:rPr>
          <w:rFonts w:ascii="Times New Roman" w:hAnsi="Times New Roman" w:cs="Times New Roman"/>
          <w:sz w:val="20"/>
          <w:szCs w:val="20"/>
        </w:rPr>
        <w:t xml:space="preserve"> compiti </w:t>
      </w:r>
      <w:r>
        <w:rPr>
          <w:rFonts w:ascii="Times New Roman" w:hAnsi="Times New Roman" w:cs="Times New Roman"/>
          <w:sz w:val="20"/>
          <w:szCs w:val="20"/>
        </w:rPr>
        <w:t xml:space="preserve">e i poteri </w:t>
      </w:r>
      <w:r w:rsidRPr="00CD7FBE">
        <w:rPr>
          <w:rFonts w:ascii="Times New Roman" w:hAnsi="Times New Roman" w:cs="Times New Roman"/>
          <w:sz w:val="20"/>
          <w:szCs w:val="20"/>
        </w:rPr>
        <w:t xml:space="preserve">del </w:t>
      </w:r>
      <w:r>
        <w:rPr>
          <w:rFonts w:ascii="Times New Roman" w:hAnsi="Times New Roman" w:cs="Times New Roman"/>
          <w:sz w:val="20"/>
          <w:szCs w:val="20"/>
        </w:rPr>
        <w:t>RPCT</w:t>
      </w:r>
      <w:r w:rsidRPr="00CD7FBE">
        <w:rPr>
          <w:rFonts w:ascii="Times New Roman" w:hAnsi="Times New Roman" w:cs="Times New Roman"/>
          <w:sz w:val="20"/>
          <w:szCs w:val="20"/>
        </w:rPr>
        <w:t xml:space="preserve"> sono disciplinati dall’art. 1, commi 8</w:t>
      </w:r>
      <w:r w:rsidRPr="00CD7FBE">
        <w:rPr>
          <w:rStyle w:val="Rimandonotadichiusura"/>
          <w:rFonts w:ascii="Times New Roman" w:hAnsi="Times New Roman" w:cs="Times New Roman"/>
          <w:sz w:val="20"/>
          <w:szCs w:val="20"/>
        </w:rPr>
        <w:endnoteReference w:id="31"/>
      </w:r>
      <w:r w:rsidRPr="00CD7FBE">
        <w:rPr>
          <w:rFonts w:ascii="Times New Roman" w:hAnsi="Times New Roman" w:cs="Times New Roman"/>
          <w:sz w:val="20"/>
          <w:szCs w:val="20"/>
        </w:rPr>
        <w:t>-10</w:t>
      </w:r>
      <w:r w:rsidRPr="00CD7FBE">
        <w:rPr>
          <w:rStyle w:val="Rimandonotadichiusura"/>
          <w:rFonts w:ascii="Times New Roman" w:hAnsi="Times New Roman" w:cs="Times New Roman"/>
          <w:sz w:val="20"/>
          <w:szCs w:val="20"/>
        </w:rPr>
        <w:endnoteReference w:id="32"/>
      </w:r>
      <w:r w:rsidRPr="00CD7FBE">
        <w:rPr>
          <w:rFonts w:ascii="Times New Roman" w:hAnsi="Times New Roman" w:cs="Times New Roman"/>
          <w:sz w:val="20"/>
          <w:szCs w:val="20"/>
        </w:rPr>
        <w:t xml:space="preserve">, della legge n. 190 del 2012, dall’articolo 43 del </w:t>
      </w:r>
      <w:r>
        <w:rPr>
          <w:rFonts w:ascii="Times New Roman" w:hAnsi="Times New Roman" w:cs="Times New Roman"/>
          <w:sz w:val="20"/>
          <w:szCs w:val="20"/>
        </w:rPr>
        <w:t>D. Lgs</w:t>
      </w:r>
      <w:r w:rsidRPr="00CD7FBE">
        <w:rPr>
          <w:rFonts w:ascii="Times New Roman" w:hAnsi="Times New Roman" w:cs="Times New Roman"/>
          <w:sz w:val="20"/>
          <w:szCs w:val="20"/>
        </w:rPr>
        <w:t>. 33/2013</w:t>
      </w:r>
      <w:r w:rsidRPr="00CD7FBE">
        <w:rPr>
          <w:rStyle w:val="Rimandonotadichiusura"/>
          <w:rFonts w:ascii="Times New Roman" w:hAnsi="Times New Roman" w:cs="Times New Roman"/>
          <w:spacing w:val="-2"/>
          <w:sz w:val="20"/>
          <w:szCs w:val="20"/>
        </w:rPr>
        <w:endnoteReference w:id="33"/>
      </w:r>
      <w:r w:rsidRPr="00CD7FBE">
        <w:rPr>
          <w:rFonts w:ascii="Times New Roman" w:hAnsi="Times New Roman" w:cs="Times New Roman"/>
          <w:sz w:val="20"/>
          <w:szCs w:val="20"/>
        </w:rPr>
        <w:t xml:space="preserve"> e dal </w:t>
      </w:r>
      <w:r>
        <w:rPr>
          <w:rFonts w:ascii="Times New Roman" w:hAnsi="Times New Roman" w:cs="Times New Roman"/>
          <w:sz w:val="20"/>
          <w:szCs w:val="20"/>
        </w:rPr>
        <w:t>D. Lgs</w:t>
      </w:r>
      <w:r w:rsidRPr="00CD7FBE">
        <w:rPr>
          <w:rFonts w:ascii="Times New Roman" w:hAnsi="Times New Roman" w:cs="Times New Roman"/>
          <w:sz w:val="20"/>
          <w:szCs w:val="20"/>
        </w:rPr>
        <w:t xml:space="preserve">. n. 39/2013. </w:t>
      </w:r>
      <w:r>
        <w:rPr>
          <w:rFonts w:ascii="Times New Roman" w:hAnsi="Times New Roman" w:cs="Times New Roman"/>
          <w:sz w:val="20"/>
          <w:szCs w:val="20"/>
        </w:rPr>
        <w:t>Nello specifico egli:</w:t>
      </w:r>
    </w:p>
    <w:p w14:paraId="641B6CB3" w14:textId="2EDFD141"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propone all’</w:t>
      </w:r>
      <w:r w:rsidR="002A7570" w:rsidRPr="00BE465B">
        <w:rPr>
          <w:rFonts w:ascii="Times New Roman" w:hAnsi="Times New Roman" w:cs="Times New Roman"/>
          <w:i/>
          <w:sz w:val="20"/>
          <w:szCs w:val="20"/>
        </w:rPr>
        <w:t>Amministratore Unico</w:t>
      </w:r>
      <w:r w:rsidR="008907B1" w:rsidRPr="00BE465B">
        <w:rPr>
          <w:rFonts w:ascii="Times New Roman" w:hAnsi="Times New Roman" w:cs="Times New Roman"/>
          <w:i/>
          <w:sz w:val="20"/>
          <w:szCs w:val="20"/>
        </w:rPr>
        <w:t xml:space="preserve"> </w:t>
      </w:r>
      <w:r w:rsidRPr="00BE465B">
        <w:rPr>
          <w:rFonts w:ascii="Times New Roman" w:hAnsi="Times New Roman" w:cs="Times New Roman"/>
          <w:i/>
          <w:sz w:val="20"/>
          <w:szCs w:val="20"/>
        </w:rPr>
        <w:t>l’adozione del Piano;</w:t>
      </w:r>
    </w:p>
    <w:p w14:paraId="0B25F59C" w14:textId="77777777"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definisce procedure appropriate per selezionare e formare i dipendenti destinati ad operare in settori esposti alla corruzione;</w:t>
      </w:r>
    </w:p>
    <w:p w14:paraId="4A4C0856" w14:textId="77777777"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 xml:space="preserve">individua il personale da inserire nei programmi di formazione; </w:t>
      </w:r>
    </w:p>
    <w:p w14:paraId="61E89A97" w14:textId="77777777"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verifica, con il supporto del “Gruppo permanente di lavoro per il PTPCT”, l’efficace attuazione del PTPCT e la sua idoneità proponendo la modifica dello stesso in caso di accertate e significative violazioni o quando intervengono mutamenti nell’organizzazione o nell’attività dell’Amministrazione;</w:t>
      </w:r>
    </w:p>
    <w:p w14:paraId="337F7A68" w14:textId="550C293A"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 xml:space="preserve">verifica, d’intesa con il </w:t>
      </w:r>
      <w:r w:rsidR="002B238A">
        <w:rPr>
          <w:rFonts w:ascii="Times New Roman" w:hAnsi="Times New Roman" w:cs="Times New Roman"/>
          <w:i/>
          <w:sz w:val="20"/>
          <w:szCs w:val="20"/>
        </w:rPr>
        <w:t>Responsabile</w:t>
      </w:r>
      <w:r w:rsidRPr="00BE465B">
        <w:rPr>
          <w:rFonts w:ascii="Times New Roman" w:hAnsi="Times New Roman" w:cs="Times New Roman"/>
          <w:i/>
          <w:sz w:val="20"/>
          <w:szCs w:val="20"/>
        </w:rPr>
        <w:t xml:space="preserve"> competente, la rotazione degli incarichi negli uffici preposti allo svolgimento delle attività in cui è elevato il rischio di corruzione;</w:t>
      </w:r>
    </w:p>
    <w:p w14:paraId="3C87C2AB" w14:textId="77777777"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è responsabile della pubblicazione della relazione recante i risultati dell’attività svolta;</w:t>
      </w:r>
    </w:p>
    <w:p w14:paraId="3F4400A0" w14:textId="60D1338B"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riferisce sull’attività nei casi in cui l’</w:t>
      </w:r>
      <w:r w:rsidR="002A7570" w:rsidRPr="00BE465B">
        <w:rPr>
          <w:rFonts w:ascii="Times New Roman" w:hAnsi="Times New Roman" w:cs="Times New Roman"/>
          <w:i/>
          <w:sz w:val="20"/>
          <w:szCs w:val="20"/>
        </w:rPr>
        <w:t>Amministratore Unico</w:t>
      </w:r>
      <w:r w:rsidR="00E0441E" w:rsidRPr="00BE465B">
        <w:rPr>
          <w:rFonts w:ascii="Times New Roman" w:hAnsi="Times New Roman" w:cs="Times New Roman"/>
          <w:i/>
          <w:sz w:val="20"/>
          <w:szCs w:val="20"/>
        </w:rPr>
        <w:t xml:space="preserve"> </w:t>
      </w:r>
      <w:r w:rsidRPr="00BE465B">
        <w:rPr>
          <w:rFonts w:ascii="Times New Roman" w:hAnsi="Times New Roman" w:cs="Times New Roman"/>
          <w:i/>
          <w:sz w:val="20"/>
          <w:szCs w:val="20"/>
        </w:rPr>
        <w:t>lo richieda o qualora lo ritenga opportuno;</w:t>
      </w:r>
    </w:p>
    <w:p w14:paraId="2ED8C02F" w14:textId="77777777"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segnala all'organo di indirizzo e all'organismo indipendente di valutazione le disfunzioni inerenti all'attuazione delle misure in materia di prevenzione della corruzione e di trasparenza;</w:t>
      </w:r>
    </w:p>
    <w:p w14:paraId="4C519E8B" w14:textId="77777777" w:rsidR="00603F3F" w:rsidRPr="00BE465B" w:rsidRDefault="00603F3F" w:rsidP="003E3269">
      <w:pPr>
        <w:pStyle w:val="Default"/>
        <w:widowControl w:val="0"/>
        <w:numPr>
          <w:ilvl w:val="0"/>
          <w:numId w:val="7"/>
        </w:numPr>
        <w:spacing w:line="276" w:lineRule="auto"/>
        <w:ind w:left="567" w:hanging="284"/>
        <w:jc w:val="both"/>
        <w:rPr>
          <w:rFonts w:ascii="Times New Roman" w:hAnsi="Times New Roman" w:cs="Times New Roman"/>
          <w:i/>
          <w:sz w:val="20"/>
          <w:szCs w:val="20"/>
        </w:rPr>
      </w:pPr>
      <w:r w:rsidRPr="00BE465B">
        <w:rPr>
          <w:rFonts w:ascii="Times New Roman" w:hAnsi="Times New Roman" w:cs="Times New Roman"/>
          <w:i/>
          <w:sz w:val="20"/>
          <w:szCs w:val="20"/>
        </w:rPr>
        <w:t>indica agli uffici competenti all'esercizio dell'azione disciplinare i nominativi dei dipendenti che non hanno attuato correttamente le misure in materia di prevenzione della corruzione e di trasparenza.</w:t>
      </w:r>
    </w:p>
    <w:p w14:paraId="370FAC70" w14:textId="49AE11E7"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CD7FBE">
        <w:rPr>
          <w:rFonts w:ascii="Times New Roman" w:hAnsi="Times New Roman" w:cs="Times New Roman"/>
          <w:sz w:val="20"/>
          <w:szCs w:val="20"/>
        </w:rPr>
        <w:t xml:space="preserve">Tra gli obblighi del </w:t>
      </w:r>
      <w:r>
        <w:rPr>
          <w:rFonts w:ascii="Times New Roman" w:hAnsi="Times New Roman" w:cs="Times New Roman"/>
          <w:sz w:val="20"/>
          <w:szCs w:val="20"/>
        </w:rPr>
        <w:t>RPCT</w:t>
      </w:r>
      <w:r w:rsidRPr="00CD7FBE">
        <w:rPr>
          <w:rFonts w:ascii="Times New Roman" w:hAnsi="Times New Roman" w:cs="Times New Roman"/>
          <w:sz w:val="20"/>
          <w:szCs w:val="20"/>
        </w:rPr>
        <w:t xml:space="preserve"> rientrano anche </w:t>
      </w:r>
      <w:r>
        <w:rPr>
          <w:rFonts w:ascii="Times New Roman" w:hAnsi="Times New Roman" w:cs="Times New Roman"/>
          <w:sz w:val="20"/>
          <w:szCs w:val="20"/>
        </w:rPr>
        <w:t>quelli</w:t>
      </w:r>
      <w:r w:rsidRPr="00CD7FBE">
        <w:rPr>
          <w:rFonts w:ascii="Times New Roman" w:hAnsi="Times New Roman" w:cs="Times New Roman"/>
          <w:sz w:val="20"/>
          <w:szCs w:val="20"/>
        </w:rPr>
        <w:t xml:space="preserve"> di denuncia che ricadono sul pubblico ufficiale e sull'incaricato di pubblico servizio ai sensi dell'art. 331 del codice penale. </w:t>
      </w:r>
    </w:p>
    <w:p w14:paraId="524FD56B" w14:textId="4C5047F3" w:rsidR="00603F3F" w:rsidRDefault="00603F3F" w:rsidP="003E3269">
      <w:pPr>
        <w:pStyle w:val="Default"/>
        <w:widowControl w:val="0"/>
        <w:numPr>
          <w:ilvl w:val="0"/>
          <w:numId w:val="44"/>
        </w:numPr>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Supporto conoscitivo ed informativo al RPCT</w:t>
      </w:r>
    </w:p>
    <w:p w14:paraId="2B62CEC9" w14:textId="77777777"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106A7B">
        <w:rPr>
          <w:rFonts w:ascii="Times New Roman" w:hAnsi="Times New Roman" w:cs="Times New Roman"/>
          <w:sz w:val="20"/>
          <w:szCs w:val="20"/>
        </w:rPr>
        <w:t>’art. 1, co. 9, lett. c) della l.190/2012, sopra citato, con particolare riguardo ai contenuti del PTPC stabilisce che in esso debbano essere previsti obblighi di informazione nei confronti del RPCT, chiamato a vigilare sul funzionamento e sull’osservanza del Piano, con particolare riguardo alle attività e aree di rischio individuate nel PTPC e alle misure di contrast</w:t>
      </w:r>
      <w:r>
        <w:rPr>
          <w:rFonts w:ascii="Times New Roman" w:hAnsi="Times New Roman" w:cs="Times New Roman"/>
          <w:sz w:val="20"/>
          <w:szCs w:val="20"/>
        </w:rPr>
        <w:t>o del rischio di corruzione.</w:t>
      </w:r>
    </w:p>
    <w:p w14:paraId="643938EC" w14:textId="1A958C2A"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106A7B">
        <w:rPr>
          <w:rFonts w:ascii="Times New Roman" w:hAnsi="Times New Roman" w:cs="Times New Roman"/>
          <w:sz w:val="20"/>
          <w:szCs w:val="20"/>
        </w:rPr>
        <w:t>’art. 16, co. 1 ter, d.lgs. n. 165 del 2001 stabilisce che i  degli uffici dirigenziali generali sono tenuti a “</w:t>
      </w:r>
      <w:r w:rsidRPr="009720F3">
        <w:rPr>
          <w:rFonts w:ascii="Times New Roman" w:hAnsi="Times New Roman" w:cs="Times New Roman"/>
          <w:i/>
          <w:sz w:val="20"/>
          <w:szCs w:val="20"/>
        </w:rPr>
        <w:t>fornire le informazioni richieste dal soggetto competente per l'individuazione delle attività nell’ambito delle quali è più elevato il rischio corruzione</w:t>
      </w:r>
      <w:r>
        <w:rPr>
          <w:rFonts w:ascii="Times New Roman" w:hAnsi="Times New Roman" w:cs="Times New Roman"/>
          <w:sz w:val="20"/>
          <w:szCs w:val="20"/>
        </w:rPr>
        <w:t>”</w:t>
      </w:r>
      <w:r>
        <w:rPr>
          <w:rStyle w:val="Rimandonotadichiusura"/>
          <w:rFonts w:ascii="Times New Roman" w:hAnsi="Times New Roman" w:cs="Times New Roman"/>
          <w:sz w:val="20"/>
          <w:szCs w:val="20"/>
        </w:rPr>
        <w:endnoteReference w:id="34"/>
      </w:r>
      <w:r>
        <w:rPr>
          <w:rFonts w:ascii="Times New Roman" w:hAnsi="Times New Roman" w:cs="Times New Roman"/>
          <w:sz w:val="20"/>
          <w:szCs w:val="20"/>
        </w:rPr>
        <w:t>.</w:t>
      </w:r>
    </w:p>
    <w:p w14:paraId="5A287F19" w14:textId="31151DE4"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106A7B">
        <w:rPr>
          <w:rFonts w:ascii="Times New Roman" w:hAnsi="Times New Roman" w:cs="Times New Roman"/>
          <w:sz w:val="20"/>
          <w:szCs w:val="20"/>
        </w:rPr>
        <w:t xml:space="preserve">’art. 8 del </w:t>
      </w:r>
      <w:r>
        <w:rPr>
          <w:rFonts w:ascii="Times New Roman" w:hAnsi="Times New Roman" w:cs="Times New Roman"/>
          <w:sz w:val="20"/>
          <w:szCs w:val="20"/>
        </w:rPr>
        <w:t>D</w:t>
      </w:r>
      <w:r w:rsidRPr="00106A7B">
        <w:rPr>
          <w:rFonts w:ascii="Times New Roman" w:hAnsi="Times New Roman" w:cs="Times New Roman"/>
          <w:sz w:val="20"/>
          <w:szCs w:val="20"/>
        </w:rPr>
        <w:t>.P.R. n. 62 del 16 aprile 2013 stabilisce che i dipendenti dell’amministrazione sono tenuti a “</w:t>
      </w:r>
      <w:r w:rsidRPr="009720F3">
        <w:rPr>
          <w:rFonts w:ascii="Times New Roman" w:hAnsi="Times New Roman" w:cs="Times New Roman"/>
          <w:i/>
          <w:sz w:val="20"/>
          <w:szCs w:val="20"/>
        </w:rPr>
        <w:t>rispettare le prescrizioni contenute nel piano per la prevenzione della corruzione e a prestare collaborazione al responsabile della prevenzione della corruzione</w:t>
      </w:r>
      <w:r w:rsidRPr="00106A7B">
        <w:rPr>
          <w:rFonts w:ascii="Times New Roman" w:hAnsi="Times New Roman" w:cs="Times New Roman"/>
          <w:sz w:val="20"/>
          <w:szCs w:val="20"/>
        </w:rPr>
        <w:t>”</w:t>
      </w:r>
      <w:r>
        <w:rPr>
          <w:rFonts w:ascii="Times New Roman" w:hAnsi="Times New Roman" w:cs="Times New Roman"/>
          <w:sz w:val="20"/>
          <w:szCs w:val="20"/>
        </w:rPr>
        <w:t>.</w:t>
      </w:r>
    </w:p>
    <w:p w14:paraId="11FADC41" w14:textId="614903C6"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sidRPr="000B7133">
        <w:rPr>
          <w:rFonts w:ascii="Times New Roman" w:hAnsi="Times New Roman" w:cs="Times New Roman"/>
          <w:sz w:val="20"/>
          <w:szCs w:val="20"/>
        </w:rPr>
        <w:t>d)</w:t>
      </w:r>
      <w:r>
        <w:rPr>
          <w:rFonts w:ascii="Times New Roman" w:hAnsi="Times New Roman" w:cs="Times New Roman"/>
          <w:sz w:val="20"/>
          <w:szCs w:val="20"/>
        </w:rPr>
        <w:tab/>
        <w:t>Rapporti con l’organo di indirizzo</w:t>
      </w:r>
    </w:p>
    <w:p w14:paraId="3951DB81" w14:textId="77777777"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B7133">
        <w:rPr>
          <w:rFonts w:ascii="Times New Roman" w:hAnsi="Times New Roman" w:cs="Times New Roman"/>
          <w:sz w:val="20"/>
          <w:szCs w:val="20"/>
        </w:rPr>
        <w:t>L’art. 1 co. 8 della l.190/2012 stabilisce che “</w:t>
      </w:r>
      <w:r w:rsidRPr="009720F3">
        <w:rPr>
          <w:rFonts w:ascii="Times New Roman" w:hAnsi="Times New Roman" w:cs="Times New Roman"/>
          <w:i/>
          <w:sz w:val="20"/>
          <w:szCs w:val="20"/>
        </w:rPr>
        <w:t>l’organo di indirizzo definisce gli obiettivi strategici in materia di prevenzione della corruzione e trasparenza, che costituiscono contenuto necessario dei documenti di programmazione strategico-gestionale e del PTPC</w:t>
      </w:r>
      <w:r w:rsidRPr="000B7133">
        <w:rPr>
          <w:rFonts w:ascii="Times New Roman" w:hAnsi="Times New Roman" w:cs="Times New Roman"/>
          <w:sz w:val="20"/>
          <w:szCs w:val="20"/>
        </w:rPr>
        <w:t xml:space="preserve">”. Tali poteri di indirizzo sono strettamente connessi con quelli che la legge attribuisce al RPCT per la predisposizione del PTPC nonché per la verifica sulla sua attuazione e idoneità con conseguente potere di proporre </w:t>
      </w:r>
      <w:r>
        <w:rPr>
          <w:rFonts w:ascii="Times New Roman" w:hAnsi="Times New Roman" w:cs="Times New Roman"/>
          <w:sz w:val="20"/>
          <w:szCs w:val="20"/>
        </w:rPr>
        <w:t xml:space="preserve">modifiche dello stesso Piano. </w:t>
      </w:r>
    </w:p>
    <w:p w14:paraId="2285DE34" w14:textId="63176C2D"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B7133">
        <w:rPr>
          <w:rFonts w:ascii="Times New Roman" w:hAnsi="Times New Roman" w:cs="Times New Roman"/>
          <w:sz w:val="20"/>
          <w:szCs w:val="20"/>
        </w:rPr>
        <w:t>L’art. 1, co.14 della l.190/2012 stabilisce l’obbligo per il RPCT di riferire all’Or</w:t>
      </w:r>
      <w:r>
        <w:rPr>
          <w:rFonts w:ascii="Times New Roman" w:hAnsi="Times New Roman" w:cs="Times New Roman"/>
          <w:sz w:val="20"/>
          <w:szCs w:val="20"/>
        </w:rPr>
        <w:t>gano di indirizzo politico sull’</w:t>
      </w:r>
      <w:r w:rsidRPr="000B7133">
        <w:rPr>
          <w:rFonts w:ascii="Times New Roman" w:hAnsi="Times New Roman" w:cs="Times New Roman"/>
          <w:sz w:val="20"/>
          <w:szCs w:val="20"/>
        </w:rPr>
        <w:t>attività svolta, con la relazione annuale sopra citata da pub</w:t>
      </w:r>
      <w:r>
        <w:rPr>
          <w:rFonts w:ascii="Times New Roman" w:hAnsi="Times New Roman" w:cs="Times New Roman"/>
          <w:sz w:val="20"/>
          <w:szCs w:val="20"/>
        </w:rPr>
        <w:t>blicare anche nel sito web dell’</w:t>
      </w:r>
      <w:r w:rsidRPr="000B7133">
        <w:rPr>
          <w:rFonts w:ascii="Times New Roman" w:hAnsi="Times New Roman" w:cs="Times New Roman"/>
          <w:sz w:val="20"/>
          <w:szCs w:val="20"/>
        </w:rPr>
        <w:t>amm</w:t>
      </w:r>
      <w:r>
        <w:rPr>
          <w:rFonts w:ascii="Times New Roman" w:hAnsi="Times New Roman" w:cs="Times New Roman"/>
          <w:sz w:val="20"/>
          <w:szCs w:val="20"/>
        </w:rPr>
        <w:t>inistrazione. Nei casi in cui l’</w:t>
      </w:r>
      <w:r w:rsidRPr="000B7133">
        <w:rPr>
          <w:rFonts w:ascii="Times New Roman" w:hAnsi="Times New Roman" w:cs="Times New Roman"/>
          <w:sz w:val="20"/>
          <w:szCs w:val="20"/>
        </w:rPr>
        <w:t>organo di indirizzo lo richieda, i</w:t>
      </w:r>
      <w:r>
        <w:rPr>
          <w:rFonts w:ascii="Times New Roman" w:hAnsi="Times New Roman" w:cs="Times New Roman"/>
          <w:sz w:val="20"/>
          <w:szCs w:val="20"/>
        </w:rPr>
        <w:t>l RPCT è tenuto a riferire sull’attività svolta.</w:t>
      </w:r>
    </w:p>
    <w:p w14:paraId="38CBD7DD" w14:textId="0764F89D"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B7133">
        <w:rPr>
          <w:rFonts w:ascii="Times New Roman" w:hAnsi="Times New Roman" w:cs="Times New Roman"/>
          <w:sz w:val="20"/>
          <w:szCs w:val="20"/>
        </w:rPr>
        <w:t>L’art. 1 co. 7 della l.190/2012 stabilisce l’obbligo da parte del RPCT di segnalare all</w:t>
      </w:r>
      <w:r>
        <w:rPr>
          <w:rFonts w:ascii="Times New Roman" w:hAnsi="Times New Roman" w:cs="Times New Roman"/>
          <w:sz w:val="20"/>
          <w:szCs w:val="20"/>
        </w:rPr>
        <w:t>’Organo di indirizzo e all’</w:t>
      </w:r>
      <w:r w:rsidRPr="000B7133">
        <w:rPr>
          <w:rFonts w:ascii="Times New Roman" w:hAnsi="Times New Roman" w:cs="Times New Roman"/>
          <w:sz w:val="20"/>
          <w:szCs w:val="20"/>
        </w:rPr>
        <w:t>Organismo Indipendente di Valutazione (O</w:t>
      </w:r>
      <w:r>
        <w:rPr>
          <w:rFonts w:ascii="Times New Roman" w:hAnsi="Times New Roman" w:cs="Times New Roman"/>
          <w:sz w:val="20"/>
          <w:szCs w:val="20"/>
        </w:rPr>
        <w:t>IV) le disfunzioni inerenti all’</w:t>
      </w:r>
      <w:r w:rsidRPr="000B7133">
        <w:rPr>
          <w:rFonts w:ascii="Times New Roman" w:hAnsi="Times New Roman" w:cs="Times New Roman"/>
          <w:sz w:val="20"/>
          <w:szCs w:val="20"/>
        </w:rPr>
        <w:t xml:space="preserve">attuazione delle misure in materia di </w:t>
      </w:r>
      <w:r>
        <w:rPr>
          <w:rFonts w:ascii="Times New Roman" w:hAnsi="Times New Roman" w:cs="Times New Roman"/>
          <w:sz w:val="20"/>
          <w:szCs w:val="20"/>
        </w:rPr>
        <w:t xml:space="preserve">prevenzione della corruzione. </w:t>
      </w:r>
      <w:r w:rsidRPr="000B7133">
        <w:rPr>
          <w:rFonts w:ascii="Times New Roman" w:hAnsi="Times New Roman" w:cs="Times New Roman"/>
          <w:sz w:val="20"/>
          <w:szCs w:val="20"/>
        </w:rPr>
        <w:t>La medesima disposizione, al fine di garantire che il RPCT abbia poteri all’interno di tutta la struttura tali da poter svolgere con effettività i propri compiti, stabilisce che “</w:t>
      </w:r>
      <w:r w:rsidRPr="009720F3">
        <w:rPr>
          <w:rFonts w:ascii="Times New Roman" w:hAnsi="Times New Roman" w:cs="Times New Roman"/>
          <w:i/>
          <w:sz w:val="20"/>
          <w:szCs w:val="20"/>
        </w:rPr>
        <w:t>l’organo di indirizzo dispone le eventuali modifiche organizzative necessarie per assicurare al RPCT funzioni e poteri idonei per lo svolgimento dell'incarico con piena autonomia ed effettività</w:t>
      </w:r>
      <w:r w:rsidRPr="000B7133">
        <w:rPr>
          <w:rFonts w:ascii="Times New Roman" w:hAnsi="Times New Roman" w:cs="Times New Roman"/>
          <w:sz w:val="20"/>
          <w:szCs w:val="20"/>
        </w:rPr>
        <w:t>”.</w:t>
      </w:r>
    </w:p>
    <w:p w14:paraId="072D9623" w14:textId="1B698EED"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sidRPr="000C0850">
        <w:rPr>
          <w:rFonts w:ascii="Times New Roman" w:hAnsi="Times New Roman" w:cs="Times New Roman"/>
          <w:sz w:val="20"/>
          <w:szCs w:val="20"/>
        </w:rPr>
        <w:t>e)</w:t>
      </w:r>
      <w:r>
        <w:rPr>
          <w:rFonts w:ascii="Times New Roman" w:hAnsi="Times New Roman" w:cs="Times New Roman"/>
          <w:sz w:val="20"/>
          <w:szCs w:val="20"/>
        </w:rPr>
        <w:tab/>
        <w:t>Rapporti con l’organo di vigilanza</w:t>
      </w:r>
    </w:p>
    <w:p w14:paraId="1FEADC7E" w14:textId="379B8181" w:rsidR="00603F3F" w:rsidRPr="009720F3" w:rsidRDefault="00603F3F" w:rsidP="00603F3F">
      <w:pPr>
        <w:pStyle w:val="Default"/>
        <w:widowControl w:val="0"/>
        <w:spacing w:line="276" w:lineRule="auto"/>
        <w:ind w:left="284"/>
        <w:jc w:val="both"/>
        <w:rPr>
          <w:rFonts w:ascii="Times New Roman" w:hAnsi="Times New Roman" w:cs="Times New Roman"/>
          <w:sz w:val="20"/>
          <w:szCs w:val="20"/>
        </w:rPr>
      </w:pPr>
      <w:r w:rsidRPr="009720F3">
        <w:rPr>
          <w:rFonts w:ascii="Times New Roman" w:hAnsi="Times New Roman" w:cs="Times New Roman"/>
          <w:sz w:val="20"/>
          <w:szCs w:val="20"/>
        </w:rPr>
        <w:t xml:space="preserve">Il nuovo co. 8-bis dell’art. 1 della l. 190/2012, nelle pubbliche amministrazioni, attribuisce agli OIV la funzione di attestazione degli obblighi di pubblicazione, di ricezione delle segnalazioni aventi ad oggetto i casi di mancato o ritardato adempimento agli obblighi di pubblicazione da parte del RPCT, nonché il compito di verificare la coerenza tra gli obiettivi assegnati, gli atti di programmazione strategico-gestionale e di performance e quelli connessi all’anticorruzione e alla trasparenza e il potere di richiedere informazioni al RPCT ed effettuare audizioni di dipendenti. La definizione dei nuovi compiti di controllo degli OIV nel sistema di prevenzione della corruzione e della trasparenza induce a ritenere che, anche nelle società, occorra individuare il soggetto più idoneo allo svolgimento delle medesime funzioni. A tal fine, ad avviso dell’Autorità, ogni società attribuisce, </w:t>
      </w:r>
      <w:r>
        <w:rPr>
          <w:rFonts w:ascii="Times New Roman" w:hAnsi="Times New Roman" w:cs="Times New Roman"/>
          <w:sz w:val="20"/>
          <w:szCs w:val="20"/>
        </w:rPr>
        <w:t>sulla base di proprie</w:t>
      </w:r>
      <w:r w:rsidRPr="009720F3">
        <w:rPr>
          <w:rFonts w:ascii="Times New Roman" w:hAnsi="Times New Roman" w:cs="Times New Roman"/>
          <w:sz w:val="20"/>
          <w:szCs w:val="20"/>
        </w:rPr>
        <w:t xml:space="preserve"> valutazioni di tipo organizzativo, tali compiti all’organo interno di controllo reputato più idoneo ovvero all’Organismo di vigilanza (OdV) (o ad altro organo a cui siano eventualmente attribuite le relative funzioni), i cui riferimenti devono essere indicati chiaramente nel sito web all’interno della sezione “</w:t>
      </w:r>
      <w:r>
        <w:rPr>
          <w:rFonts w:ascii="Times New Roman" w:hAnsi="Times New Roman" w:cs="Times New Roman"/>
          <w:sz w:val="20"/>
          <w:szCs w:val="20"/>
        </w:rPr>
        <w:t>società</w:t>
      </w:r>
      <w:r w:rsidRPr="009720F3">
        <w:rPr>
          <w:rFonts w:ascii="Times New Roman" w:hAnsi="Times New Roman" w:cs="Times New Roman"/>
          <w:sz w:val="20"/>
          <w:szCs w:val="20"/>
        </w:rPr>
        <w:t xml:space="preserve"> Trasparente”.</w:t>
      </w:r>
    </w:p>
    <w:p w14:paraId="1F1844CD" w14:textId="62DAD183" w:rsidR="00603F3F" w:rsidRPr="000F059B" w:rsidRDefault="00603F3F" w:rsidP="00603F3F">
      <w:pPr>
        <w:pStyle w:val="Default"/>
        <w:widowControl w:val="0"/>
        <w:spacing w:line="276" w:lineRule="auto"/>
        <w:ind w:left="284"/>
        <w:jc w:val="both"/>
        <w:rPr>
          <w:rFonts w:ascii="Times New Roman" w:hAnsi="Times New Roman" w:cs="Times New Roman"/>
          <w:sz w:val="20"/>
          <w:szCs w:val="20"/>
        </w:rPr>
      </w:pPr>
      <w:r w:rsidRPr="009720F3">
        <w:rPr>
          <w:rFonts w:ascii="Times New Roman" w:hAnsi="Times New Roman" w:cs="Times New Roman"/>
          <w:sz w:val="20"/>
          <w:szCs w:val="20"/>
        </w:rPr>
        <w:t>Quanto ai rapporti tra RPCT e Organismo di vigilanza, si ritiene che debbano essere riviste le conclusioni cui si era pervenuti in sede di adozione della determinazione n. 8/2015. In ragione delle diverse funzioni attribuite al RPCT e all’OdV dalle rispettive normative di riferimento</w:t>
      </w:r>
      <w:r>
        <w:rPr>
          <w:rFonts w:ascii="Times New Roman" w:hAnsi="Times New Roman" w:cs="Times New Roman"/>
          <w:sz w:val="20"/>
          <w:szCs w:val="20"/>
        </w:rPr>
        <w:t>,</w:t>
      </w:r>
      <w:r w:rsidRPr="009720F3">
        <w:rPr>
          <w:rFonts w:ascii="Times New Roman" w:hAnsi="Times New Roman" w:cs="Times New Roman"/>
          <w:sz w:val="20"/>
          <w:szCs w:val="20"/>
        </w:rPr>
        <w:t xml:space="preserve"> nonché in relazione alle diverse finalità delle citate normative, si ritiene necessario escludere che il RPCT possa fare parte dell’OdV, anche nel caso in cui questo sia collegiale. Al fine di limitare l’impatto organizzativo del nuovo orientamento rispetto a quanto previsto nella determinazione n. 8/2015, l’indicazione deve essere intesa come valida a regime o qualora ancora non sia stato nominato il RPCT, potendo le società mantenere eventuali RPCT già nominati all’interno degli OdV fino alla scadenza del mandato.</w:t>
      </w:r>
      <w:r>
        <w:rPr>
          <w:rFonts w:ascii="Times New Roman" w:hAnsi="Times New Roman" w:cs="Times New Roman"/>
          <w:sz w:val="20"/>
          <w:szCs w:val="20"/>
        </w:rPr>
        <w:t xml:space="preserve"> </w:t>
      </w:r>
    </w:p>
    <w:p w14:paraId="3EB6B7F4" w14:textId="125BA749" w:rsidR="00603F3F" w:rsidRPr="009720F3" w:rsidRDefault="00603F3F" w:rsidP="00603F3F">
      <w:pPr>
        <w:pStyle w:val="Default"/>
        <w:widowControl w:val="0"/>
        <w:spacing w:line="276" w:lineRule="auto"/>
        <w:ind w:left="284"/>
        <w:jc w:val="both"/>
        <w:rPr>
          <w:rFonts w:ascii="Times New Roman" w:hAnsi="Times New Roman"/>
          <w:sz w:val="20"/>
          <w:szCs w:val="20"/>
        </w:rPr>
      </w:pPr>
      <w:r w:rsidRPr="009720F3">
        <w:rPr>
          <w:rFonts w:ascii="Times New Roman" w:hAnsi="Times New Roman"/>
          <w:sz w:val="20"/>
          <w:szCs w:val="20"/>
        </w:rPr>
        <w:t>In ogni caso, considerata la stretta connessione tra le misure adottate ai sensi del d.lgs. n. 231 del 2001 e quelle previste dalla legge n. 190 del 2012, le funzioni del RPCT dovranno essere svolte in costante coordinamento con quelle dell’OdV nominato ai sensi del citato decreto legislativo.</w:t>
      </w:r>
    </w:p>
    <w:p w14:paraId="680B8BAC" w14:textId="6E91B937"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f</w:t>
      </w:r>
      <w:r w:rsidRPr="007F208B">
        <w:rPr>
          <w:rFonts w:ascii="Times New Roman" w:hAnsi="Times New Roman" w:cs="Times New Roman"/>
          <w:sz w:val="20"/>
          <w:szCs w:val="20"/>
        </w:rPr>
        <w:t>)</w:t>
      </w:r>
      <w:r>
        <w:rPr>
          <w:rFonts w:ascii="Times New Roman" w:hAnsi="Times New Roman" w:cs="Times New Roman"/>
          <w:sz w:val="20"/>
          <w:szCs w:val="20"/>
        </w:rPr>
        <w:tab/>
        <w:t>Garanzie della posizione di indipendenza del RPCT</w:t>
      </w:r>
    </w:p>
    <w:p w14:paraId="3CEBC6F8" w14:textId="3F671E98"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DB6843">
        <w:rPr>
          <w:rFonts w:ascii="Times New Roman" w:hAnsi="Times New Roman"/>
          <w:sz w:val="20"/>
          <w:szCs w:val="20"/>
        </w:rPr>
        <w:t>Eventuali misure discriminatorie, dirette o indirette, nei confronti del Responsabile della prevenzione della corruzione e della trasparenza per motivi collegati, direttamente o indirettamente, allo svolgimento delle sue funzioni devono essere segnalate all’Autorità nazionale anticorruzione, che può chiedere informazioni all'organo di indirizzo e intervenire nelle forme di cui al comma 3, articolo 15, decreto legislativo 8 aprile 2013, n. 39</w:t>
      </w:r>
      <w:r w:rsidRPr="00DB6843">
        <w:rPr>
          <w:rFonts w:ascii="Times New Roman" w:hAnsi="Times New Roman"/>
          <w:sz w:val="20"/>
          <w:szCs w:val="20"/>
          <w:vertAlign w:val="superscript"/>
        </w:rPr>
        <w:endnoteReference w:id="35"/>
      </w:r>
      <w:r w:rsidRPr="00DB6843">
        <w:rPr>
          <w:rFonts w:ascii="Times New Roman" w:hAnsi="Times New Roman"/>
          <w:sz w:val="20"/>
          <w:szCs w:val="20"/>
        </w:rPr>
        <w:t>.</w:t>
      </w:r>
      <w:r>
        <w:rPr>
          <w:rFonts w:ascii="Times New Roman" w:hAnsi="Times New Roman"/>
          <w:sz w:val="20"/>
          <w:szCs w:val="20"/>
        </w:rPr>
        <w:t xml:space="preserve"> </w:t>
      </w:r>
      <w:r w:rsidRPr="009E6249">
        <w:rPr>
          <w:rFonts w:ascii="Times New Roman" w:hAnsi="Times New Roman" w:cs="Times New Roman"/>
          <w:sz w:val="20"/>
          <w:szCs w:val="20"/>
        </w:rPr>
        <w:t xml:space="preserve">Stante il difficile compito assegnato al RPCT, il legislatore ha elaborato un sistema di garanzia a tutela di tale soggetto al fine di evitare ritorsioni nei confronti dello stesso per l’esercizio delle sue funzioni (art. 1, co. 7 e co. 82, l. n. 190/2012, </w:t>
      </w:r>
      <w:r>
        <w:rPr>
          <w:rFonts w:ascii="Times New Roman" w:hAnsi="Times New Roman" w:cs="Times New Roman"/>
          <w:sz w:val="20"/>
          <w:szCs w:val="20"/>
        </w:rPr>
        <w:t>il succitato art. 15, co. 3, del d.</w:t>
      </w:r>
      <w:r w:rsidRPr="009E6249">
        <w:rPr>
          <w:rFonts w:ascii="Times New Roman" w:hAnsi="Times New Roman" w:cs="Times New Roman"/>
          <w:sz w:val="20"/>
          <w:szCs w:val="20"/>
        </w:rPr>
        <w:t>lgs. 39/2013), prevedendo anche l’intervento di ANAC recentemente disciplinato con “</w:t>
      </w:r>
      <w:r w:rsidRPr="009720F3">
        <w:rPr>
          <w:rFonts w:ascii="Times New Roman" w:hAnsi="Times New Roman" w:cs="Times New Roman"/>
          <w:i/>
          <w:sz w:val="20"/>
          <w:szCs w:val="20"/>
        </w:rPr>
        <w:t>Regolamento sull’esercizio del potere dell’Autorità di richiedere il riesame dei provvedimenti di revoca o di misure discriminatorie adottati nei confronti del Responsabile della prevenzione della corruzione e della trasparenza (RPCT) per attività svolte in materia di prevenzione della corruzione</w:t>
      </w:r>
      <w:r w:rsidRPr="009E6249">
        <w:rPr>
          <w:rFonts w:ascii="Times New Roman" w:hAnsi="Times New Roman" w:cs="Times New Roman"/>
          <w:sz w:val="20"/>
          <w:szCs w:val="20"/>
        </w:rPr>
        <w:t>” adottato dal Consiglio dell’Autorità in data 18 luglio 2018.</w:t>
      </w:r>
    </w:p>
    <w:p w14:paraId="5A39D585" w14:textId="521BF485"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g</w:t>
      </w:r>
      <w:r w:rsidRPr="00C65109">
        <w:rPr>
          <w:rFonts w:ascii="Times New Roman" w:hAnsi="Times New Roman" w:cs="Times New Roman"/>
          <w:sz w:val="20"/>
          <w:szCs w:val="20"/>
        </w:rPr>
        <w:t>)</w:t>
      </w:r>
      <w:r>
        <w:rPr>
          <w:rFonts w:ascii="Times New Roman" w:hAnsi="Times New Roman" w:cs="Times New Roman"/>
          <w:sz w:val="20"/>
          <w:szCs w:val="20"/>
        </w:rPr>
        <w:tab/>
        <w:t xml:space="preserve">Compiti del RPCT in materia </w:t>
      </w:r>
      <w:r w:rsidR="00E51735">
        <w:rPr>
          <w:rFonts w:ascii="Times New Roman" w:hAnsi="Times New Roman" w:cs="Times New Roman"/>
          <w:sz w:val="20"/>
          <w:szCs w:val="20"/>
        </w:rPr>
        <w:t>inconcepibilità</w:t>
      </w:r>
      <w:r>
        <w:rPr>
          <w:rFonts w:ascii="Times New Roman" w:hAnsi="Times New Roman" w:cs="Times New Roman"/>
          <w:sz w:val="20"/>
          <w:szCs w:val="20"/>
        </w:rPr>
        <w:t xml:space="preserve"> e incompatibilità di incarichi</w:t>
      </w:r>
    </w:p>
    <w:p w14:paraId="101A7149" w14:textId="7D29B0E3"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0810B9">
        <w:rPr>
          <w:rFonts w:ascii="Times New Roman" w:hAnsi="Times New Roman" w:cs="Times New Roman"/>
          <w:sz w:val="20"/>
          <w:szCs w:val="20"/>
        </w:rPr>
        <w:t>Ai sensi dall’art. 15 del d.lgs. n. 39/2013, al RPCT è affidato il compito di vigilare sul rispetto delle disposizioni sulle inconferibilità e incompatibilità degli incarichi di cui al medesimo decreto legislativo, con capacità proprie di intervento, anche sanzionatorio, e di segnalare le violazioni all’ANAC. A tale proposito è utile ricordare che l’Autorità con le “</w:t>
      </w:r>
      <w:r w:rsidRPr="009720F3">
        <w:rPr>
          <w:rFonts w:ascii="Times New Roman" w:hAnsi="Times New Roman" w:cs="Times New Roman"/>
          <w:i/>
          <w:sz w:val="20"/>
          <w:szCs w:val="20"/>
        </w:rPr>
        <w:t>Linee guida in materia di accertamento delle inconferibilità e delle incompatibilità degli incarichi amministrativi da parte del responsabile della prevenzione della corruzione</w:t>
      </w:r>
      <w:r w:rsidRPr="000810B9">
        <w:rPr>
          <w:rFonts w:ascii="Times New Roman" w:hAnsi="Times New Roman" w:cs="Times New Roman"/>
          <w:sz w:val="20"/>
          <w:szCs w:val="20"/>
        </w:rPr>
        <w:t>”, adottate con Delibera ANAC n. 833 del 3 agosto 2016 ha precisato che spetta al RPCT “</w:t>
      </w:r>
      <w:r w:rsidRPr="009720F3">
        <w:rPr>
          <w:rFonts w:ascii="Times New Roman" w:hAnsi="Times New Roman" w:cs="Times New Roman"/>
          <w:i/>
          <w:sz w:val="20"/>
          <w:szCs w:val="20"/>
        </w:rPr>
        <w:t>avviare il procedimento sanzionatorio, ai fini dell’accertamento delle responsabilità soggettive e dell’applicazione della misura interdittiva prevista dall’art. 18 (per le sole inconferibilità). Il procedimento avviato dal RPC è un distinto e autonomo procedimento, che si svolge nel rispetto del contraddittorio e che è volto ad accertare la sussistenza dell’elemento psicologico del dolo o della colpa, anche lieve, in capo all’organo conferente. All’esito del suo accertamento il RPC irroga, se del caso, la sanzione inibitoria di cui all’art. 18 del d.lgs. n. 39/2013. Per effetto di tale sanzione, l’organo che ha conferito l’incarico non potrà, per i successivi tre mesi, procedere al conferimento di incarichi di propria competenza</w:t>
      </w:r>
      <w:r w:rsidRPr="000810B9">
        <w:rPr>
          <w:rFonts w:ascii="Times New Roman" w:hAnsi="Times New Roman" w:cs="Times New Roman"/>
          <w:sz w:val="20"/>
          <w:szCs w:val="20"/>
        </w:rPr>
        <w:t>.”</w:t>
      </w:r>
    </w:p>
    <w:p w14:paraId="4373DCD7" w14:textId="680F1899" w:rsidR="00603F3F" w:rsidRPr="009E6249"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h)</w:t>
      </w:r>
      <w:r>
        <w:rPr>
          <w:rFonts w:ascii="Times New Roman" w:hAnsi="Times New Roman" w:cs="Times New Roman"/>
          <w:sz w:val="20"/>
          <w:szCs w:val="20"/>
        </w:rPr>
        <w:tab/>
        <w:t>Responsabilità del RPCT</w:t>
      </w:r>
    </w:p>
    <w:p w14:paraId="6923A2EF" w14:textId="0869F5F3"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CD7FBE">
        <w:rPr>
          <w:rFonts w:ascii="Times New Roman" w:hAnsi="Times New Roman" w:cs="Times New Roman"/>
          <w:sz w:val="20"/>
          <w:szCs w:val="20"/>
        </w:rPr>
        <w:t xml:space="preserve">Le responsabilità del </w:t>
      </w:r>
      <w:r>
        <w:rPr>
          <w:rFonts w:ascii="Times New Roman" w:hAnsi="Times New Roman" w:cs="Times New Roman"/>
          <w:sz w:val="20"/>
          <w:szCs w:val="20"/>
        </w:rPr>
        <w:t>RPCT</w:t>
      </w:r>
      <w:r w:rsidRPr="00CD7FBE">
        <w:rPr>
          <w:rFonts w:ascii="Times New Roman" w:hAnsi="Times New Roman" w:cs="Times New Roman"/>
          <w:sz w:val="20"/>
          <w:szCs w:val="20"/>
        </w:rPr>
        <w:t xml:space="preserve"> sono definite dall'art. 1, commi 12</w:t>
      </w:r>
      <w:r w:rsidRPr="00CD7FBE">
        <w:rPr>
          <w:rStyle w:val="Rimandonotadichiusura"/>
          <w:rFonts w:ascii="Times New Roman" w:hAnsi="Times New Roman" w:cs="Times New Roman"/>
          <w:sz w:val="20"/>
          <w:szCs w:val="20"/>
        </w:rPr>
        <w:endnoteReference w:id="36"/>
      </w:r>
      <w:r w:rsidRPr="00CD7FBE">
        <w:rPr>
          <w:rFonts w:ascii="Times New Roman" w:hAnsi="Times New Roman" w:cs="Times New Roman"/>
          <w:sz w:val="20"/>
          <w:szCs w:val="20"/>
        </w:rPr>
        <w:t xml:space="preserve"> e 14</w:t>
      </w:r>
      <w:r w:rsidRPr="00CD7FBE">
        <w:rPr>
          <w:rStyle w:val="Rimandonotadichiusura"/>
          <w:rFonts w:ascii="Times New Roman" w:hAnsi="Times New Roman" w:cs="Times New Roman"/>
          <w:sz w:val="20"/>
          <w:szCs w:val="20"/>
        </w:rPr>
        <w:endnoteReference w:id="37"/>
      </w:r>
      <w:r w:rsidRPr="00CD7FBE">
        <w:rPr>
          <w:rFonts w:ascii="Times New Roman" w:hAnsi="Times New Roman" w:cs="Times New Roman"/>
          <w:sz w:val="20"/>
          <w:szCs w:val="20"/>
        </w:rPr>
        <w:t xml:space="preserve"> della legge n. 190/2012.</w:t>
      </w:r>
    </w:p>
    <w:p w14:paraId="750A551D" w14:textId="77777777"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440475">
        <w:rPr>
          <w:rFonts w:ascii="Times New Roman" w:hAnsi="Times New Roman" w:cs="Times New Roman"/>
          <w:sz w:val="20"/>
          <w:szCs w:val="20"/>
        </w:rPr>
        <w:t xml:space="preserve">In particolare, </w:t>
      </w:r>
      <w:r>
        <w:rPr>
          <w:rFonts w:ascii="Times New Roman" w:hAnsi="Times New Roman" w:cs="Times New Roman"/>
          <w:sz w:val="20"/>
          <w:szCs w:val="20"/>
        </w:rPr>
        <w:t>il comma</w:t>
      </w:r>
      <w:r w:rsidRPr="00440475">
        <w:rPr>
          <w:rFonts w:ascii="Times New Roman" w:hAnsi="Times New Roman" w:cs="Times New Roman"/>
          <w:sz w:val="20"/>
          <w:szCs w:val="20"/>
        </w:rPr>
        <w:t xml:space="preserve"> 12 stabilisce che “</w:t>
      </w:r>
      <w:r w:rsidRPr="009720F3">
        <w:rPr>
          <w:rFonts w:ascii="Times New Roman" w:hAnsi="Times New Roman" w:cs="Times New Roman"/>
          <w:i/>
          <w:sz w:val="20"/>
          <w:szCs w:val="20"/>
        </w:rPr>
        <w:t>In caso di commissione, all’interno dell’amministrazione, di un reato di corruzione accertato con sentenza passata in giudicato, il RPCT risponde ai sensi dell’articolo 21 del decreto legislativo 30 marzo 2001, n. 165, e successive modificazioni, nonché sul piano disciplinare, oltre che per il danno erariale e all’immagine della pubblica amministrazione, salvo che provi di avere predisposto, prima della commissione del fatto, il Piano e di aver vigilato sul funzionamento e sull’osservanza del piano</w:t>
      </w:r>
      <w:r w:rsidRPr="00440475">
        <w:rPr>
          <w:rFonts w:ascii="Times New Roman" w:hAnsi="Times New Roman" w:cs="Times New Roman"/>
          <w:sz w:val="20"/>
          <w:szCs w:val="20"/>
        </w:rPr>
        <w:t xml:space="preserve">”. </w:t>
      </w:r>
    </w:p>
    <w:p w14:paraId="747A5422" w14:textId="7BDA38EF"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Il comma</w:t>
      </w:r>
      <w:r w:rsidRPr="00440475">
        <w:rPr>
          <w:rFonts w:ascii="Times New Roman" w:hAnsi="Times New Roman" w:cs="Times New Roman"/>
          <w:sz w:val="20"/>
          <w:szCs w:val="20"/>
        </w:rPr>
        <w:t xml:space="preserve"> 14 stabilisce altresì che “</w:t>
      </w:r>
      <w:r w:rsidRPr="009720F3">
        <w:rPr>
          <w:rFonts w:ascii="Times New Roman" w:hAnsi="Times New Roman" w:cs="Times New Roman"/>
          <w:i/>
          <w:sz w:val="20"/>
          <w:szCs w:val="20"/>
        </w:rPr>
        <w:t>In caso di ripetute violazioni delle misure di prevenzione previste dal Piano, il responsabile (…) risponde ai sensi dell'articolo 21 del decreto legislativo 30 marzo 2001, n. 165, (….) nonché, per omesso controllo, sul piano disciplinare, salvo che provi di avere comunicato agli uffici le misure da adottare e le relative modalità e di avere vigilato sull'osservanza del Piano. La violazione, da parte dei dipendenti dell'amministrazione, delle misure di prevenzione previste dal Piano costituisce illecito disciplinare</w:t>
      </w:r>
      <w:r w:rsidRPr="00440475">
        <w:rPr>
          <w:rFonts w:ascii="Times New Roman" w:hAnsi="Times New Roman" w:cs="Times New Roman"/>
          <w:sz w:val="20"/>
          <w:szCs w:val="20"/>
        </w:rPr>
        <w:t>”.</w:t>
      </w:r>
    </w:p>
    <w:p w14:paraId="6E307372" w14:textId="5A236D93"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sidRPr="004E0F59">
        <w:rPr>
          <w:rFonts w:ascii="Times New Roman" w:hAnsi="Times New Roman" w:cs="Times New Roman"/>
          <w:sz w:val="20"/>
          <w:szCs w:val="20"/>
        </w:rPr>
        <w:t>i)</w:t>
      </w:r>
      <w:r>
        <w:rPr>
          <w:rFonts w:ascii="Times New Roman" w:hAnsi="Times New Roman" w:cs="Times New Roman"/>
          <w:sz w:val="20"/>
          <w:szCs w:val="20"/>
        </w:rPr>
        <w:tab/>
        <w:t>Rapporti fra l’A.N.AC. e il RPCT</w:t>
      </w:r>
    </w:p>
    <w:p w14:paraId="3A7FD566" w14:textId="6F1A3867"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 xml:space="preserve">Nell’aggiornamento 2018 al Piano Nazionale Anticorruzione, l’A.N.AC. sottolinea quanto sia di estrema importanza per l’Autorità stessa valorizzare i rapporti con i RPCT in quanto si tratta di </w:t>
      </w:r>
      <w:r w:rsidRPr="00BF1699">
        <w:rPr>
          <w:rFonts w:ascii="Times New Roman" w:hAnsi="Times New Roman" w:cs="Times New Roman"/>
          <w:sz w:val="20"/>
          <w:szCs w:val="20"/>
        </w:rPr>
        <w:t>figure chiave nelle amministrazioni e negli enti per assicurare effettività al sistema di prevenzione della corruzione come declinato nella l. 190/2012.</w:t>
      </w:r>
    </w:p>
    <w:p w14:paraId="5BF2B077" w14:textId="68FFBCA8"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F20323">
        <w:rPr>
          <w:rFonts w:ascii="Times New Roman" w:hAnsi="Times New Roman" w:cs="Times New Roman"/>
          <w:sz w:val="20"/>
          <w:szCs w:val="20"/>
        </w:rPr>
        <w:t>Con tale soggetto A</w:t>
      </w:r>
      <w:r>
        <w:rPr>
          <w:rFonts w:ascii="Times New Roman" w:hAnsi="Times New Roman" w:cs="Times New Roman"/>
          <w:sz w:val="20"/>
          <w:szCs w:val="20"/>
        </w:rPr>
        <w:t>.</w:t>
      </w:r>
      <w:r w:rsidRPr="00F20323">
        <w:rPr>
          <w:rFonts w:ascii="Times New Roman" w:hAnsi="Times New Roman" w:cs="Times New Roman"/>
          <w:sz w:val="20"/>
          <w:szCs w:val="20"/>
        </w:rPr>
        <w:t>N</w:t>
      </w:r>
      <w:r>
        <w:rPr>
          <w:rFonts w:ascii="Times New Roman" w:hAnsi="Times New Roman" w:cs="Times New Roman"/>
          <w:sz w:val="20"/>
          <w:szCs w:val="20"/>
        </w:rPr>
        <w:t>.</w:t>
      </w:r>
      <w:r w:rsidRPr="00F20323">
        <w:rPr>
          <w:rFonts w:ascii="Times New Roman" w:hAnsi="Times New Roman" w:cs="Times New Roman"/>
          <w:sz w:val="20"/>
          <w:szCs w:val="20"/>
        </w:rPr>
        <w:t>AC</w:t>
      </w:r>
      <w:r>
        <w:rPr>
          <w:rFonts w:ascii="Times New Roman" w:hAnsi="Times New Roman" w:cs="Times New Roman"/>
          <w:sz w:val="20"/>
          <w:szCs w:val="20"/>
        </w:rPr>
        <w:t>.</w:t>
      </w:r>
      <w:r w:rsidRPr="00F20323">
        <w:rPr>
          <w:rFonts w:ascii="Times New Roman" w:hAnsi="Times New Roman" w:cs="Times New Roman"/>
          <w:sz w:val="20"/>
          <w:szCs w:val="20"/>
        </w:rPr>
        <w:t xml:space="preserve"> interagisce nello svolgimento della propria attività di vigilanza per verificare sia l’efficacia delle misure di prevenzione della corruzione di cui alla l. 190/2012, sia il corretto adempimento degli obblighi di pubblicazione di cui al d.lgs. 33/2013 negli enti</w:t>
      </w:r>
      <w:r>
        <w:rPr>
          <w:rFonts w:ascii="Times New Roman" w:hAnsi="Times New Roman" w:cs="Times New Roman"/>
          <w:sz w:val="20"/>
          <w:szCs w:val="20"/>
        </w:rPr>
        <w:t>.</w:t>
      </w:r>
    </w:p>
    <w:p w14:paraId="35F564C7" w14:textId="6831BEE9"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Relativamente alla vigilanza sulle misure anticorruzione, si ricorda che l’art. 1, co. 2, lett f), della l. 190/2012 assegna all’Autorità il compito di esercitare la vigilanza e il controllo sull’effettiva applicazione e sull’efficacia delle misure anticorruzione adottate dalle pubbliche amministrazioni e sul rispetto delle regole sulla trasparenza amministrativa.</w:t>
      </w:r>
    </w:p>
    <w:p w14:paraId="5775F185" w14:textId="1AA2F03A"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La collaborazione dei RPCT è indispensabile per l’Autorità al fine di poter compiutamente svolgere tali funzioni. È al RPCT dell’amministrazione che l’ANAC si rivolge per comunicare l’avvio del procedimento di vigilanza di cui al richiamato art.1, co. 2, lett. f), della l. 190/2012. Tale comunicazione può anche essere preceduta da una richiesta di informazioni e di esibizione di documenti, indirizzata al medesimo RPCT, utile per l’avvio del procedimento</w:t>
      </w:r>
    </w:p>
    <w:p w14:paraId="77E6ADB8" w14:textId="10EEED05"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In questa fase il RPCT è tenuto a collaborare attivamente con l’Autorità e a fornire le informazioni e i documenti richiesti in tempi brevi, possibilmente corredati da una relazione quanto più esaustiva possibile, utile ad ANAC per svolgere la propria attività. Per la predisposizione della relazione, il RPCT esercita i poteri di vigilanza e controllo e acquisisce dati e informazioni come delineato dall’Autorità nella citata Delibera n. 840/2018.</w:t>
      </w:r>
    </w:p>
    <w:p w14:paraId="39078D91" w14:textId="6D54208C"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Con riferimento alla vigilanza e al controllo sulla trasparenza esercitata dall’Autorità si richiama l’art. 45, del d.lgs. 33/2013 che assegna ad ANAC i compiti di «</w:t>
      </w:r>
      <w:r w:rsidRPr="009720F3">
        <w:rPr>
          <w:rFonts w:ascii="Times New Roman" w:hAnsi="Times New Roman" w:cs="Times New Roman"/>
          <w:i/>
          <w:sz w:val="20"/>
          <w:szCs w:val="20"/>
        </w:rPr>
        <w:t>controllare l’esatto adempimento degli obblighi di pubblicazione previsti dalla normativa vigente, esercitando poteri ispettivi mediante richiesta di notizie, informazioni, atti e documenti alle amministrazioni pubbliche e ordinando di procedere, entro un termine non superiore a trenta giorni, alla pubblicazione di dati, documenti e informazioni</w:t>
      </w:r>
      <w:r w:rsidRPr="00E47A75">
        <w:rPr>
          <w:rFonts w:ascii="Times New Roman" w:hAnsi="Times New Roman" w:cs="Times New Roman"/>
          <w:sz w:val="20"/>
          <w:szCs w:val="20"/>
        </w:rPr>
        <w:t xml:space="preserve"> </w:t>
      </w:r>
      <w:r w:rsidRPr="009720F3">
        <w:rPr>
          <w:rFonts w:ascii="Times New Roman" w:hAnsi="Times New Roman" w:cs="Times New Roman"/>
          <w:i/>
          <w:sz w:val="20"/>
          <w:szCs w:val="20"/>
        </w:rPr>
        <w:t>(…) ovvero alla rimozione di comportamenti o atti contrastanti con i piani e le regole sulla trasparenza</w:t>
      </w:r>
      <w:r w:rsidRPr="00E47A75">
        <w:rPr>
          <w:rFonts w:ascii="Times New Roman" w:hAnsi="Times New Roman" w:cs="Times New Roman"/>
          <w:sz w:val="20"/>
          <w:szCs w:val="20"/>
        </w:rPr>
        <w:t>» (art. 45, co. 1, d.lgs. 33/2013) nonché il compito di «</w:t>
      </w:r>
      <w:r w:rsidRPr="009720F3">
        <w:rPr>
          <w:rFonts w:ascii="Times New Roman" w:hAnsi="Times New Roman" w:cs="Times New Roman"/>
          <w:i/>
          <w:sz w:val="20"/>
          <w:szCs w:val="20"/>
        </w:rPr>
        <w:t>controllare l’operato dei responsabili per la trasparenza a cui può chiedere il rendiconto sui risultati del controllo svolto all’interno delle amministrazioni</w:t>
      </w:r>
      <w:r w:rsidRPr="00E47A75">
        <w:rPr>
          <w:rFonts w:ascii="Times New Roman" w:hAnsi="Times New Roman" w:cs="Times New Roman"/>
          <w:sz w:val="20"/>
          <w:szCs w:val="20"/>
        </w:rPr>
        <w:t>» (art. 45, co. 2, d.lgs. 33/2013). Il legislatore assegna al RPCT il compito di svolgere all’interno di ogni ente «</w:t>
      </w:r>
      <w:r w:rsidRPr="009720F3">
        <w:rPr>
          <w:rFonts w:ascii="Times New Roman" w:hAnsi="Times New Roman" w:cs="Times New Roman"/>
          <w:i/>
          <w:sz w:val="20"/>
          <w:szCs w:val="20"/>
        </w:rPr>
        <w:t>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r w:rsidRPr="00E47A75">
        <w:rPr>
          <w:rFonts w:ascii="Times New Roman" w:hAnsi="Times New Roman" w:cs="Times New Roman"/>
          <w:sz w:val="20"/>
          <w:szCs w:val="20"/>
        </w:rPr>
        <w:t>» (art. 43, co. 1, d.lgs. 33/2013).</w:t>
      </w:r>
    </w:p>
    <w:p w14:paraId="4F7179B8" w14:textId="78D27354"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E47A75">
        <w:rPr>
          <w:rFonts w:ascii="Times New Roman" w:hAnsi="Times New Roman" w:cs="Times New Roman"/>
          <w:sz w:val="20"/>
          <w:szCs w:val="20"/>
        </w:rPr>
        <w:t>Il RPCT è il soggetto (insieme al legale rappresentante dell’amministrazione interessata, all’OIV o altro organismo con funzioni analoghe) cui ANAC comunica l’avvio del procedimento con la contestazione delle presunte violazioni degli adempimenti di pubblicazione dell’amministrazione interessata. Tale comunicazione può anche essere preceduta da una richiesta di informazioni e di esibizione di documenti, indirizzata al medesimo RPCT, utile ad ANAC per valutare l’avvio del procedimento.</w:t>
      </w:r>
    </w:p>
    <w:p w14:paraId="3C9F5208" w14:textId="6B82068F"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 xml:space="preserve">Infine, </w:t>
      </w:r>
      <w:r w:rsidRPr="00907D7D">
        <w:rPr>
          <w:rFonts w:ascii="Times New Roman" w:hAnsi="Times New Roman" w:cs="Times New Roman"/>
          <w:sz w:val="20"/>
          <w:szCs w:val="20"/>
        </w:rPr>
        <w:t xml:space="preserve">qualora </w:t>
      </w:r>
      <w:r>
        <w:rPr>
          <w:rFonts w:ascii="Times New Roman" w:hAnsi="Times New Roman" w:cs="Times New Roman"/>
          <w:sz w:val="20"/>
          <w:szCs w:val="20"/>
        </w:rPr>
        <w:t xml:space="preserve">l’Autorità rilevi, </w:t>
      </w:r>
      <w:r w:rsidRPr="00907D7D">
        <w:rPr>
          <w:rFonts w:ascii="Times New Roman" w:hAnsi="Times New Roman" w:cs="Times New Roman"/>
          <w:sz w:val="20"/>
          <w:szCs w:val="20"/>
        </w:rPr>
        <w:t>nello svolgimento dei compiti di vigilanza sul rispetto degli obblighi di pubblicazione previsti dall’ar</w:t>
      </w:r>
      <w:r>
        <w:rPr>
          <w:rFonts w:ascii="Times New Roman" w:hAnsi="Times New Roman" w:cs="Times New Roman"/>
          <w:sz w:val="20"/>
          <w:szCs w:val="20"/>
        </w:rPr>
        <w:t xml:space="preserve">t. 14 del d.lgs. 33/2013, </w:t>
      </w:r>
      <w:r w:rsidRPr="00907D7D">
        <w:rPr>
          <w:rFonts w:ascii="Times New Roman" w:hAnsi="Times New Roman" w:cs="Times New Roman"/>
          <w:sz w:val="20"/>
          <w:szCs w:val="20"/>
        </w:rPr>
        <w:t>l’esistenza di fattispecie sanzionabili ai sensi dell’art. 47 dello stesso decreto si rivolge al RPCT dell’amministrazione o dell’ente interessato perché fornisca le motivazioni del mancato adempimento. Spetta al RPTC, quindi, verificare se l’inadempimento dipenda, eventualmente dalla mancata comunicazione da parte dei soggetti obbligati trasmettendo, se ricorra questa ipotesi, i dati identificativi del soggetto che abbia omesso la comunicazione. In tali casi è opportuno che il RPCT riscontri la richiesta dell’Autorità, eventualmente con una nota congiunta, indicando chiaramente i motivi della mancata pubblicazione anche al fine di dimostrare che l’inadempimento è dipeso dalla omessa comunicazione del soggetto obbligato e comunque da causa a lui non imputabile.</w:t>
      </w:r>
    </w:p>
    <w:p w14:paraId="4566936B" w14:textId="4BDAFC12" w:rsidR="00603F3F" w:rsidRDefault="00603F3F" w:rsidP="00603F3F">
      <w:pPr>
        <w:pStyle w:val="Default"/>
        <w:widowControl w:val="0"/>
        <w:spacing w:line="276" w:lineRule="auto"/>
        <w:ind w:left="284" w:hanging="284"/>
        <w:jc w:val="both"/>
        <w:rPr>
          <w:rFonts w:ascii="Times New Roman" w:hAnsi="Times New Roman" w:cs="Times New Roman"/>
          <w:sz w:val="20"/>
          <w:szCs w:val="20"/>
        </w:rPr>
      </w:pPr>
      <w:r>
        <w:rPr>
          <w:rFonts w:ascii="Times New Roman" w:hAnsi="Times New Roman" w:cs="Times New Roman"/>
          <w:sz w:val="20"/>
          <w:szCs w:val="20"/>
        </w:rPr>
        <w:t>l</w:t>
      </w:r>
      <w:r w:rsidRPr="002B5994">
        <w:rPr>
          <w:rFonts w:ascii="Times New Roman" w:hAnsi="Times New Roman" w:cs="Times New Roman"/>
          <w:sz w:val="20"/>
          <w:szCs w:val="20"/>
        </w:rPr>
        <w:t>)</w:t>
      </w:r>
      <w:r>
        <w:rPr>
          <w:rFonts w:ascii="Times New Roman" w:hAnsi="Times New Roman" w:cs="Times New Roman"/>
          <w:sz w:val="20"/>
          <w:szCs w:val="20"/>
        </w:rPr>
        <w:tab/>
        <w:t>Requisiti soggettivi per la nomina e la permanenza in carica del RPCT</w:t>
      </w:r>
    </w:p>
    <w:p w14:paraId="7802C14F" w14:textId="1FF2188B"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9F0A96">
        <w:rPr>
          <w:rFonts w:ascii="Times New Roman" w:hAnsi="Times New Roman" w:cs="Times New Roman"/>
          <w:sz w:val="20"/>
          <w:szCs w:val="20"/>
        </w:rPr>
        <w:t>Per il ruolo importante e delicato che il RPCT svolge in ogni amministrazione e nei rapporti con l’ANAC, già nel PNA 2016 adottato con Delibera n. 831 del 3 agosto 2016, l’Autorità aveva ritenuto opportuno (§ 5.2) sottolineare che la scelta del RPCT dovesse ricadere su persone che avessero sempre mantenuto una condotta integerrima, escludendo coloro che fossero stati destinatari di provvedimenti giudiziali di condanna o provvedimenti disciplinari</w:t>
      </w:r>
      <w:r>
        <w:rPr>
          <w:rFonts w:ascii="Times New Roman" w:hAnsi="Times New Roman" w:cs="Times New Roman"/>
          <w:sz w:val="20"/>
          <w:szCs w:val="20"/>
        </w:rPr>
        <w:t>. L’Autorità nell’aggiornamento 2018 al Piano Nazionale Anticorruzione, ribadendo quanto sopra, ha fornito alcune precisazioni.</w:t>
      </w:r>
    </w:p>
    <w:p w14:paraId="25A45734" w14:textId="6A45267F"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D64E8A">
        <w:rPr>
          <w:rFonts w:ascii="Times New Roman" w:hAnsi="Times New Roman" w:cs="Times New Roman"/>
          <w:sz w:val="20"/>
          <w:szCs w:val="20"/>
        </w:rPr>
        <w:t>In particolare, l’amministrazione è tenuta a considerare tra le cause ostative allo svolgimento e al mantenimento dell’incarico di RPCT le condanne in primo grado prese in considerazione nel decreto legislativo 31 dicembre 2012, n. 235, ar</w:t>
      </w:r>
      <w:r>
        <w:rPr>
          <w:rFonts w:ascii="Times New Roman" w:hAnsi="Times New Roman" w:cs="Times New Roman"/>
          <w:sz w:val="20"/>
          <w:szCs w:val="20"/>
        </w:rPr>
        <w:t>t. 7, co. 1, lett. da a) ad f)</w:t>
      </w:r>
      <w:r>
        <w:rPr>
          <w:rStyle w:val="Rimandonotadichiusura"/>
          <w:rFonts w:ascii="Times New Roman" w:hAnsi="Times New Roman" w:cs="Times New Roman"/>
          <w:sz w:val="20"/>
          <w:szCs w:val="20"/>
        </w:rPr>
        <w:endnoteReference w:id="38"/>
      </w:r>
      <w:r w:rsidRPr="00D64E8A">
        <w:rPr>
          <w:rFonts w:ascii="Times New Roman" w:hAnsi="Times New Roman" w:cs="Times New Roman"/>
          <w:sz w:val="20"/>
          <w:szCs w:val="20"/>
        </w:rPr>
        <w:t>, nonché quelle per i reati contro la pubblica amministrazione e, in particolare, almeno quelli richiamati dal d.lgs. 39/2013 che fanno riferimento al Titolo II, Capo I «</w:t>
      </w:r>
      <w:r w:rsidRPr="005D4E3A">
        <w:rPr>
          <w:rFonts w:ascii="Times New Roman" w:hAnsi="Times New Roman" w:cs="Times New Roman"/>
          <w:i/>
          <w:sz w:val="20"/>
          <w:szCs w:val="20"/>
        </w:rPr>
        <w:t>Dei delitti dei pubblici ufficiali contro la Pubblica amministrazione</w:t>
      </w:r>
      <w:r w:rsidRPr="00D64E8A">
        <w:rPr>
          <w:rFonts w:ascii="Times New Roman" w:hAnsi="Times New Roman" w:cs="Times New Roman"/>
          <w:sz w:val="20"/>
          <w:szCs w:val="20"/>
        </w:rPr>
        <w:t>».</w:t>
      </w:r>
    </w:p>
    <w:p w14:paraId="79E2B42B" w14:textId="3426E580"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w:t>
      </w:r>
      <w:r w:rsidRPr="00D64E8A">
        <w:rPr>
          <w:rFonts w:ascii="Times New Roman" w:hAnsi="Times New Roman" w:cs="Times New Roman"/>
          <w:sz w:val="20"/>
          <w:szCs w:val="20"/>
        </w:rPr>
        <w:t xml:space="preserve">’Autorità ritiene che il RPCT debba dare tempestiva comunicazione all’amministrazione o ente presso cui presta servizio di aver subìto eventuali condanne di primo grado, almeno tra quelle relative alle disposizioni sopra richiamate. L’amministrazione, ove venga a conoscenza di tali condanne da parte del RPCT interessato o anche da terzi, è tenuta alla revoca dell’incarico di RPCT. Si ricorda che i provvedimenti di revoca devono essere tempestivamente comunicati all’Autorità secondo quanto previsto dalla normativa vigente e </w:t>
      </w:r>
      <w:r>
        <w:rPr>
          <w:rFonts w:ascii="Times New Roman" w:hAnsi="Times New Roman" w:cs="Times New Roman"/>
          <w:sz w:val="20"/>
          <w:szCs w:val="20"/>
        </w:rPr>
        <w:t xml:space="preserve">così come </w:t>
      </w:r>
      <w:r w:rsidRPr="00D64E8A">
        <w:rPr>
          <w:rFonts w:ascii="Times New Roman" w:hAnsi="Times New Roman" w:cs="Times New Roman"/>
          <w:sz w:val="20"/>
          <w:szCs w:val="20"/>
        </w:rPr>
        <w:t xml:space="preserve">chiarito </w:t>
      </w:r>
      <w:r>
        <w:rPr>
          <w:rFonts w:ascii="Times New Roman" w:hAnsi="Times New Roman" w:cs="Times New Roman"/>
          <w:sz w:val="20"/>
          <w:szCs w:val="20"/>
        </w:rPr>
        <w:t xml:space="preserve">nella </w:t>
      </w:r>
      <w:r w:rsidRPr="00D64E8A">
        <w:rPr>
          <w:rFonts w:ascii="Times New Roman" w:hAnsi="Times New Roman" w:cs="Times New Roman"/>
          <w:sz w:val="20"/>
          <w:szCs w:val="20"/>
        </w:rPr>
        <w:t>Parte generale,</w:t>
      </w:r>
      <w:r>
        <w:rPr>
          <w:rFonts w:ascii="Times New Roman" w:hAnsi="Times New Roman" w:cs="Times New Roman"/>
          <w:sz w:val="20"/>
          <w:szCs w:val="20"/>
        </w:rPr>
        <w:t xml:space="preserve"> paragrafo 6</w:t>
      </w:r>
      <w:r w:rsidRPr="00D64E8A">
        <w:rPr>
          <w:rFonts w:ascii="Times New Roman" w:hAnsi="Times New Roman" w:cs="Times New Roman"/>
          <w:sz w:val="20"/>
          <w:szCs w:val="20"/>
        </w:rPr>
        <w:t xml:space="preserve"> del</w:t>
      </w:r>
      <w:r>
        <w:rPr>
          <w:rFonts w:ascii="Times New Roman" w:hAnsi="Times New Roman" w:cs="Times New Roman"/>
          <w:sz w:val="20"/>
          <w:szCs w:val="20"/>
        </w:rPr>
        <w:t>l’</w:t>
      </w:r>
      <w:r w:rsidRPr="00D64E8A">
        <w:rPr>
          <w:rFonts w:ascii="Times New Roman" w:hAnsi="Times New Roman" w:cs="Times New Roman"/>
          <w:sz w:val="20"/>
          <w:szCs w:val="20"/>
        </w:rPr>
        <w:t>Aggiornamento</w:t>
      </w:r>
      <w:r>
        <w:rPr>
          <w:rFonts w:ascii="Times New Roman" w:hAnsi="Times New Roman" w:cs="Times New Roman"/>
          <w:sz w:val="20"/>
          <w:szCs w:val="20"/>
        </w:rPr>
        <w:t xml:space="preserve"> 2018 al Piano Nazionale Anticorruzione</w:t>
      </w:r>
      <w:r w:rsidRPr="00D64E8A">
        <w:rPr>
          <w:rFonts w:ascii="Times New Roman" w:hAnsi="Times New Roman" w:cs="Times New Roman"/>
          <w:sz w:val="20"/>
          <w:szCs w:val="20"/>
        </w:rPr>
        <w:t xml:space="preserve">, nonché come disciplinato nel recente Regolamento </w:t>
      </w:r>
      <w:r>
        <w:rPr>
          <w:rFonts w:ascii="Times New Roman" w:hAnsi="Times New Roman" w:cs="Times New Roman"/>
          <w:sz w:val="20"/>
          <w:szCs w:val="20"/>
        </w:rPr>
        <w:t xml:space="preserve">dell’Autorità </w:t>
      </w:r>
      <w:r w:rsidRPr="00D64E8A">
        <w:rPr>
          <w:rFonts w:ascii="Times New Roman" w:hAnsi="Times New Roman" w:cs="Times New Roman"/>
          <w:sz w:val="20"/>
          <w:szCs w:val="20"/>
        </w:rPr>
        <w:t>approvato con delibera</w:t>
      </w:r>
      <w:r>
        <w:rPr>
          <w:rFonts w:ascii="Times New Roman" w:hAnsi="Times New Roman" w:cs="Times New Roman"/>
          <w:sz w:val="20"/>
          <w:szCs w:val="20"/>
        </w:rPr>
        <w:t xml:space="preserve"> n.</w:t>
      </w:r>
      <w:r w:rsidRPr="00D64E8A">
        <w:rPr>
          <w:rFonts w:ascii="Times New Roman" w:hAnsi="Times New Roman" w:cs="Times New Roman"/>
          <w:sz w:val="20"/>
          <w:szCs w:val="20"/>
        </w:rPr>
        <w:t xml:space="preserve"> 657 del 18 luglio 2018</w:t>
      </w:r>
      <w:r>
        <w:rPr>
          <w:rFonts w:ascii="Times New Roman" w:hAnsi="Times New Roman" w:cs="Times New Roman"/>
          <w:sz w:val="20"/>
          <w:szCs w:val="20"/>
        </w:rPr>
        <w:t xml:space="preserve"> ed infine al successivo punto m) di cui al presente Piano</w:t>
      </w:r>
      <w:r w:rsidRPr="00D64E8A">
        <w:rPr>
          <w:rFonts w:ascii="Times New Roman" w:hAnsi="Times New Roman" w:cs="Times New Roman"/>
          <w:sz w:val="20"/>
          <w:szCs w:val="20"/>
        </w:rPr>
        <w:t>.</w:t>
      </w:r>
    </w:p>
    <w:p w14:paraId="71071744" w14:textId="000CEE94" w:rsidR="00603F3F" w:rsidRDefault="00603F3F" w:rsidP="00603F3F">
      <w:pPr>
        <w:pStyle w:val="Default"/>
        <w:widowControl w:val="0"/>
        <w:tabs>
          <w:tab w:val="left" w:pos="284"/>
        </w:tabs>
        <w:spacing w:line="276" w:lineRule="auto"/>
        <w:jc w:val="both"/>
        <w:rPr>
          <w:rFonts w:ascii="Times New Roman" w:hAnsi="Times New Roman" w:cs="Times New Roman"/>
          <w:sz w:val="20"/>
          <w:szCs w:val="20"/>
        </w:rPr>
      </w:pPr>
      <w:r>
        <w:rPr>
          <w:rFonts w:ascii="Times New Roman" w:hAnsi="Times New Roman" w:cs="Times New Roman"/>
          <w:sz w:val="20"/>
          <w:szCs w:val="20"/>
        </w:rPr>
        <w:t>m)</w:t>
      </w:r>
      <w:r>
        <w:rPr>
          <w:rFonts w:ascii="Times New Roman" w:hAnsi="Times New Roman" w:cs="Times New Roman"/>
          <w:sz w:val="20"/>
          <w:szCs w:val="20"/>
        </w:rPr>
        <w:tab/>
        <w:t>Revoca del RPCT e misure discriminatorie nei suoi confronti</w:t>
      </w:r>
    </w:p>
    <w:p w14:paraId="79FA01D5" w14:textId="12876D2D" w:rsidR="00603F3F" w:rsidRDefault="00603F3F" w:rsidP="00603F3F">
      <w:pPr>
        <w:pStyle w:val="Default"/>
        <w:widowControl w:val="0"/>
        <w:spacing w:line="276" w:lineRule="auto"/>
        <w:ind w:left="284"/>
        <w:jc w:val="both"/>
        <w:rPr>
          <w:rFonts w:ascii="Times New Roman" w:hAnsi="Times New Roman" w:cs="Times New Roman"/>
          <w:sz w:val="20"/>
          <w:szCs w:val="20"/>
        </w:rPr>
      </w:pPr>
      <w:r w:rsidRPr="004E7D25">
        <w:rPr>
          <w:rFonts w:ascii="Times New Roman" w:hAnsi="Times New Roman" w:cs="Times New Roman"/>
          <w:sz w:val="20"/>
          <w:szCs w:val="20"/>
        </w:rPr>
        <w:t>Tra i presidi di garanzia dell’autonomia e indipendenza del RPCT il legislatore ha previsto che, in caso di revoca dell’incarico, l’Autorità possa richiedere all’amministrazione o ente che ha adottato il provvedimento di revoca il riesame della decisione nel caso rilevi che la revoca sia correlata alle attività svolte dal RPCT in materia di prevenzione della corruzione.</w:t>
      </w:r>
    </w:p>
    <w:p w14:paraId="73112FB6" w14:textId="77777777" w:rsidR="00603F3F" w:rsidRPr="00F620E3" w:rsidRDefault="00603F3F" w:rsidP="00603F3F">
      <w:pPr>
        <w:pStyle w:val="Default"/>
        <w:widowControl w:val="0"/>
        <w:spacing w:line="276" w:lineRule="auto"/>
        <w:ind w:left="284"/>
        <w:jc w:val="both"/>
        <w:rPr>
          <w:rFonts w:ascii="Times New Roman" w:hAnsi="Times New Roman"/>
          <w:sz w:val="20"/>
          <w:szCs w:val="20"/>
        </w:rPr>
      </w:pPr>
      <w:r w:rsidRPr="00F620E3">
        <w:rPr>
          <w:rFonts w:ascii="Times New Roman" w:hAnsi="Times New Roman"/>
          <w:sz w:val="20"/>
          <w:szCs w:val="20"/>
        </w:rPr>
        <w:t>Gli atti di revoca dell’incarico del RPCT sono motivati e comunicati all’ANAC che, entro 30 giorni, può formulare una richiesta di riesame qualora rilevi che la revoca sia correlata alle attività svolte dal Responsabile in materia di prevenzione della corruzione ai sensi dell’art. 15 del d.lgs. n. 39/2013. Analoghi poteri sono stati attribuiti all’Autorità nel caso di segnalazione di misure discriminatorie nei confronti del RPCT a seguito della modifica dell’art. 1, co. 7 della l. 190 del 2012 operata dall’art. 41, co. 1, lett. f), d.lgs. 97/2016.</w:t>
      </w:r>
    </w:p>
    <w:p w14:paraId="707415FC" w14:textId="2968BA71" w:rsidR="00603F3F" w:rsidRDefault="00603F3F" w:rsidP="00603F3F">
      <w:pPr>
        <w:pStyle w:val="Default"/>
        <w:widowControl w:val="0"/>
        <w:spacing w:line="276" w:lineRule="auto"/>
        <w:ind w:left="284"/>
        <w:jc w:val="both"/>
        <w:rPr>
          <w:rFonts w:ascii="Times New Roman" w:hAnsi="Times New Roman" w:cs="Times New Roman"/>
          <w:sz w:val="20"/>
          <w:szCs w:val="20"/>
        </w:rPr>
      </w:pPr>
      <w:r>
        <w:rPr>
          <w:rFonts w:ascii="Times New Roman" w:hAnsi="Times New Roman" w:cs="Times New Roman"/>
          <w:sz w:val="20"/>
          <w:szCs w:val="20"/>
        </w:rPr>
        <w:t>Le succitate norme non sono chiare nella definizione del procedimento da seguire e proprio in relazione alla laconicità del quadro normativo e alle criticità emerse in sede di vigilanza, l’Autorità ha adottato la succitata Delibera n. 657/2018 e ha fornito indicazioni alle PP.AA. nell’Aggiornamento 2018 al Piano Nazionale Anticorruzione.</w:t>
      </w:r>
    </w:p>
    <w:p w14:paraId="31C55259" w14:textId="3401329B" w:rsidR="00603F3F" w:rsidRDefault="00603F3F" w:rsidP="003E3269">
      <w:pPr>
        <w:pStyle w:val="Default"/>
        <w:widowControl w:val="0"/>
        <w:numPr>
          <w:ilvl w:val="0"/>
          <w:numId w:val="5"/>
        </w:numPr>
        <w:spacing w:line="276" w:lineRule="auto"/>
        <w:ind w:left="567" w:hanging="283"/>
        <w:jc w:val="both"/>
        <w:rPr>
          <w:rFonts w:ascii="Times New Roman" w:hAnsi="Times New Roman" w:cs="Times New Roman"/>
          <w:sz w:val="20"/>
          <w:szCs w:val="20"/>
        </w:rPr>
      </w:pPr>
      <w:r>
        <w:rPr>
          <w:rFonts w:ascii="Times New Roman" w:hAnsi="Times New Roman" w:cs="Times New Roman"/>
          <w:sz w:val="20"/>
          <w:szCs w:val="20"/>
        </w:rPr>
        <w:t>Procedimento di riesame della revoca</w:t>
      </w:r>
    </w:p>
    <w:p w14:paraId="2CFF2D97" w14:textId="18AF99FD" w:rsidR="00603F3F" w:rsidRPr="003C7D28" w:rsidRDefault="00603F3F" w:rsidP="00603F3F">
      <w:pPr>
        <w:pStyle w:val="Default"/>
        <w:widowControl w:val="0"/>
        <w:spacing w:line="276" w:lineRule="auto"/>
        <w:ind w:left="567"/>
        <w:jc w:val="both"/>
        <w:rPr>
          <w:rFonts w:ascii="Times New Roman" w:hAnsi="Times New Roman" w:cs="Times New Roman"/>
          <w:i/>
          <w:sz w:val="20"/>
          <w:szCs w:val="20"/>
        </w:rPr>
      </w:pPr>
      <w:r w:rsidRPr="003C7D28">
        <w:rPr>
          <w:rFonts w:ascii="Times New Roman" w:hAnsi="Times New Roman" w:cs="Times New Roman"/>
          <w:i/>
          <w:sz w:val="20"/>
          <w:szCs w:val="20"/>
        </w:rPr>
        <w:t>Trattandosi di un procedimento che l’Autorità conduce allo stato degli atti e poiché è di rilievo tenere conto anche di elementi istruttori in grado di rappresentare eventuali osservazioni e valutazioni del RPCT revocato, è necessario che siano trasmessi insieme alla revoca eventuali atti e osservazioni prodotti dal RPCT nell’ambito del predetto procedimento. Le amministrazioni e gli altri soggetti interessati provvedono, su impulso dell’Autorità, al riesame del provvedimento di revoca laddove quest’ultima rilevi, a seguito dell’istruttoria, la possibile esistenza di una correlazione tra la revoca e le attività svolte dal RPCT in materia di prevenzione della corruzione. Ove si confermi la revoca, nella motivazione del provvedimento l’amministrazione e gli altri soggetti sono tenuti a riferirsi agli elementi contenuti nella richiesta di riesame adottata dall’Autorità. Ciò al fine di assicurare una compiuta analisi dei rilievi dell’Autorità. Qualora i Prefetti, le amministrazioni e gli altri soggetti omettano di comunicare i provvedimenti di revoca all’Autorità, fatte salve le responsabilità penali ed amministrative, quest’ultima può prendere in considerazione segnalazioni relative alla revoca dei RPCT. In tali casi, può richiedere la comunicazione dei provvedimenti di revoca ai Prefetti, alle amministrazioni interessate e agli altri soggetti indicati sopra. Si rammenta alle amministrazioni e agli altri soggetti interessati che l’efficacia della revoca è, comunque, sospesa dalla comunicazione all’Autorità del provvedimento. L’eventuale richiesta di riesame del provvedimento di revoca, approvata dal Consiglio dell’Autorità, è trasmessa all’organo di indirizzo dell’amministrazione o degli altri soggetti indicati sopra, nonché al RPCT interessato, e comporta il protrarsi dell’inefficacia del provvedimento di revoca fino alla data di approvazione del provvedimento conclusivo del procedimento di riesame da parte dell’amministrazione e degli altri soggetti. Le amministrazioni e gli altri soggetti cui si applica la disciplina non possono nominare un nuovo RPCT fino alla completa conclusione del procedimento di riesame del provvedimento di revoca. L’esito del procedimento di riesame è comunicato all’Autorità che ne prende atto, eventualmente ribadendo le proprie motivazioni. Le segnalazioni sulle revoche giunte oltre i termini di 30 giorni, sono trattate dall’Autorità nel rispetto dei termini del «Regolamento sull’esercizio dell’attività di vigilanza in materia di prevenzione della corruzione» del 29 marzo 2017, pubblicato sul sito istituzionale dell’Autorità.</w:t>
      </w:r>
    </w:p>
    <w:p w14:paraId="4177FD7F" w14:textId="2808535A" w:rsidR="00603F3F" w:rsidRDefault="00603F3F" w:rsidP="003E3269">
      <w:pPr>
        <w:pStyle w:val="Default"/>
        <w:widowControl w:val="0"/>
        <w:numPr>
          <w:ilvl w:val="0"/>
          <w:numId w:val="5"/>
        </w:numPr>
        <w:spacing w:line="276" w:lineRule="auto"/>
        <w:ind w:left="567" w:hanging="283"/>
        <w:jc w:val="both"/>
        <w:rPr>
          <w:rFonts w:ascii="Times New Roman" w:hAnsi="Times New Roman" w:cs="Times New Roman"/>
          <w:sz w:val="20"/>
          <w:szCs w:val="20"/>
        </w:rPr>
      </w:pPr>
      <w:r>
        <w:rPr>
          <w:rFonts w:ascii="Times New Roman" w:hAnsi="Times New Roman" w:cs="Times New Roman"/>
          <w:sz w:val="20"/>
          <w:szCs w:val="20"/>
        </w:rPr>
        <w:t>Procedimento di riesame in caso di misure discriminatorie</w:t>
      </w:r>
    </w:p>
    <w:p w14:paraId="6BF7DEEF" w14:textId="4729D1C4" w:rsidR="00603F3F" w:rsidRPr="003C7D28" w:rsidRDefault="00603F3F" w:rsidP="00603F3F">
      <w:pPr>
        <w:pStyle w:val="Default"/>
        <w:widowControl w:val="0"/>
        <w:spacing w:line="276" w:lineRule="auto"/>
        <w:ind w:left="567"/>
        <w:jc w:val="both"/>
        <w:rPr>
          <w:rFonts w:ascii="Times New Roman" w:hAnsi="Times New Roman" w:cs="Times New Roman"/>
          <w:i/>
          <w:sz w:val="20"/>
          <w:szCs w:val="20"/>
        </w:rPr>
      </w:pPr>
      <w:r w:rsidRPr="003C7D28">
        <w:rPr>
          <w:rFonts w:ascii="Times New Roman" w:hAnsi="Times New Roman" w:cs="Times New Roman"/>
          <w:i/>
          <w:sz w:val="20"/>
          <w:szCs w:val="20"/>
        </w:rPr>
        <w:t>Per quanto riguarda le altre misure discriminatorie adottate nei confronti del RPCT, per motivi collegati, direttamente o indirettamente, allo svolgimento delle sue funzioni, l’intervento dell’Autorità consiste nella possibilità di «chiedere informazioni all’organo di indirizzo e intervenire nelle forme di cui al comma 3, articolo 15, decreto legislativo 8 aprile 2013, n. 39» e, quindi, in una richiesta di riesame del provvedimento concernente “le misure discriminatorie”. Le segnalazioni vengono esaminate dall’Autorità nel rispetto dei termini del «Regolamento sull’esercizio dell’attività di vigilanza in materia di prevenzione della corruzione» sopra citato, secondo il procedimento descritto al capo II, art. 9 del Regolamento. In tali casi, non essendo previsti termini di legge, se le evidenze documentali trasmesse non sono sufficienti perché l’Autorità si esprima con un livello di ragionevole certezza, l’ANAC può instaurare un contraddittorio con le amministrazioni o con gli altri soggetti cui si applica la disciplina mediante l’esercizio dei poteri istruttori attribuiti dalla l. 190/2012 (art. 1, co. 2, lett. f). 15 Qualora all’esito dell’istruttoria, l’Autorità rilevi la possibile fondatezza dell’esistenza di una correlazione tra le misure discriminatorie di cui sopra adottate nei confronti del RPCT e l’attività da questi svolta in materia di prevenzione della corruzione può</w:t>
      </w:r>
      <w:r w:rsidRPr="00FB41AF">
        <w:rPr>
          <w:rFonts w:ascii="Times New Roman" w:hAnsi="Times New Roman" w:cs="Times New Roman"/>
          <w:sz w:val="20"/>
          <w:szCs w:val="20"/>
        </w:rPr>
        <w:t xml:space="preserve"> </w:t>
      </w:r>
      <w:r w:rsidRPr="003C7D28">
        <w:rPr>
          <w:rFonts w:ascii="Times New Roman" w:hAnsi="Times New Roman" w:cs="Times New Roman"/>
          <w:i/>
          <w:sz w:val="20"/>
          <w:szCs w:val="20"/>
        </w:rPr>
        <w:t>richiederne il riesame mediante delibera del Consiglio. Le amministrazioni e gli altri soggetti interessati sono tenuti a comunicare all’Autorità gli esiti del procedimento di riesame degli atti indicati nella richiesta dell’Autorità. Anche in tal caso ove gli atti siano di conferma dei precedenti, la motivazione deve espressamente riflettere gli elementi contenuti nella richiesta di riesame adottata dall’Autorità.</w:t>
      </w:r>
    </w:p>
    <w:p w14:paraId="7149A54A" w14:textId="56455B8C" w:rsidR="00603F3F" w:rsidRPr="00237E7B" w:rsidRDefault="00603F3F" w:rsidP="00603F3F">
      <w:pPr>
        <w:pStyle w:val="Default"/>
        <w:widowControl w:val="0"/>
        <w:spacing w:line="276" w:lineRule="auto"/>
        <w:jc w:val="both"/>
        <w:rPr>
          <w:rFonts w:ascii="Times New Roman" w:hAnsi="Times New Roman" w:cs="Times New Roman"/>
          <w:i/>
          <w:sz w:val="20"/>
          <w:szCs w:val="20"/>
        </w:rPr>
      </w:pPr>
    </w:p>
    <w:p w14:paraId="02AAC69A" w14:textId="595174BA" w:rsidR="00603F3F" w:rsidRDefault="00603F3F" w:rsidP="00603F3F">
      <w:pPr>
        <w:pStyle w:val="Default"/>
        <w:widowControl w:val="0"/>
        <w:spacing w:line="276" w:lineRule="auto"/>
        <w:jc w:val="both"/>
        <w:rPr>
          <w:rFonts w:ascii="Times New Roman" w:hAnsi="Times New Roman" w:cs="Times New Roman"/>
          <w:sz w:val="20"/>
          <w:szCs w:val="20"/>
        </w:rPr>
      </w:pPr>
      <w:r>
        <w:rPr>
          <w:rFonts w:ascii="Times New Roman" w:hAnsi="Times New Roman" w:cs="Times New Roman"/>
          <w:sz w:val="20"/>
          <w:szCs w:val="20"/>
        </w:rPr>
        <w:t xml:space="preserve">L’A.N.AC. ha inoltre recentemente adottato la delibera n. 840 del 2 ottobre 2018 con cui ha fornito indicazioni interpretative ed operative sui poteri di verifica, controllo e istruttori del RPCT </w:t>
      </w:r>
      <w:r w:rsidRPr="00E15B98">
        <w:rPr>
          <w:rFonts w:ascii="Times New Roman" w:hAnsi="Times New Roman" w:cs="Times New Roman"/>
          <w:sz w:val="20"/>
          <w:szCs w:val="20"/>
        </w:rPr>
        <w:t>nel caso rilevi o siano segnalati casi di presunta corruzione</w:t>
      </w:r>
      <w:r>
        <w:rPr>
          <w:rFonts w:ascii="Times New Roman" w:hAnsi="Times New Roman" w:cs="Times New Roman"/>
          <w:sz w:val="20"/>
          <w:szCs w:val="20"/>
        </w:rPr>
        <w:t xml:space="preserve">. </w:t>
      </w:r>
    </w:p>
    <w:p w14:paraId="24F7DCA9" w14:textId="4AA8C64C" w:rsidR="00603F3F" w:rsidRDefault="00603F3F" w:rsidP="00603F3F">
      <w:pPr>
        <w:pStyle w:val="Default"/>
        <w:widowControl w:val="0"/>
        <w:spacing w:line="276" w:lineRule="auto"/>
        <w:jc w:val="both"/>
        <w:rPr>
          <w:rFonts w:ascii="Times New Roman" w:hAnsi="Times New Roman" w:cs="Times New Roman"/>
          <w:sz w:val="20"/>
          <w:szCs w:val="20"/>
        </w:rPr>
      </w:pPr>
      <w:r w:rsidRPr="00E15B98">
        <w:rPr>
          <w:rFonts w:ascii="Times New Roman" w:hAnsi="Times New Roman" w:cs="Times New Roman"/>
          <w:sz w:val="20"/>
          <w:szCs w:val="20"/>
        </w:rPr>
        <w:t xml:space="preserve">I poteri di vigilanza e controllo del RPCT sono stati delineati come funzionali al ruolo principale che il legislatore assegna al RPCT che è quello di predisporre adeguati strumenti interni all’amministrazione per contrastare l’insorgenza di fenomeni corruttivi (PTPC). Si è precisato che tali poteri si inseriscono e vanno coordinati con quelli di altri organi di controllo interno delle amministrazioni ed enti al fine di ottimizzare, senza sovrapposizioni o duplicazioni, l’intero sistema di controlli previsti nelle amministrazioni anche al fine di contenere fenomeni di </w:t>
      </w:r>
      <w:r w:rsidRPr="009720F3">
        <w:rPr>
          <w:rFonts w:ascii="Times New Roman" w:hAnsi="Times New Roman" w:cs="Times New Roman"/>
          <w:i/>
          <w:sz w:val="20"/>
          <w:szCs w:val="20"/>
        </w:rPr>
        <w:t>maladministration</w:t>
      </w:r>
      <w:r w:rsidRPr="00E15B98">
        <w:rPr>
          <w:rFonts w:ascii="Times New Roman" w:hAnsi="Times New Roman" w:cs="Times New Roman"/>
          <w:sz w:val="20"/>
          <w:szCs w:val="20"/>
        </w:rPr>
        <w:t>. In tale quadro, si è escluso che al RPCT spetti accertare responsabilità e svolgere direttamente controlli di legittimità e di regolarità amministrativa e contabile. Sui poteri istruttori, e relativi limiti, del RPCT in caso di segnalazioni di fatti di natura corruttiva si è valutata positivamente la possibilità che il RPCT possa acquisire direttamente atti e documenti o svolgere audizioni di dipendenti nella misura in cui ciò consenta al RPCT di avere una più chiara ricostruzione dei fatti oggetto della segnalazione.</w:t>
      </w:r>
    </w:p>
    <w:p w14:paraId="47CC2FA5" w14:textId="77777777" w:rsidR="00603F3F" w:rsidRDefault="00603F3F" w:rsidP="00603F3F">
      <w:pPr>
        <w:pStyle w:val="Default"/>
        <w:widowControl w:val="0"/>
        <w:spacing w:line="276" w:lineRule="auto"/>
        <w:jc w:val="both"/>
        <w:rPr>
          <w:rFonts w:ascii="Times New Roman" w:hAnsi="Times New Roman" w:cs="Times New Roman"/>
          <w:sz w:val="20"/>
          <w:szCs w:val="20"/>
        </w:rPr>
      </w:pPr>
    </w:p>
    <w:p w14:paraId="78CFA999" w14:textId="269E7E4A"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Per lo svolgimento dei compiti assegnati, il </w:t>
      </w:r>
      <w:r>
        <w:rPr>
          <w:rFonts w:ascii="Times New Roman" w:hAnsi="Times New Roman" w:cs="Times New Roman"/>
          <w:sz w:val="20"/>
          <w:szCs w:val="20"/>
        </w:rPr>
        <w:t>RPCT</w:t>
      </w:r>
      <w:r w:rsidRPr="00CD7FBE">
        <w:rPr>
          <w:rFonts w:ascii="Times New Roman" w:hAnsi="Times New Roman" w:cs="Times New Roman"/>
          <w:sz w:val="20"/>
          <w:szCs w:val="20"/>
        </w:rPr>
        <w:t xml:space="preserve"> ha completo accesso a tutti gli atti dell’organizzazione, dati e informazioni, funzionali all’attività di controllo che comunque sono di pertinenza del vertice gestionale. In tale ambito rientrano, peraltro, anche i controlli inerenti la sfera dei dati personali e/o sensibili, per i quali il </w:t>
      </w:r>
      <w:r>
        <w:rPr>
          <w:rFonts w:ascii="Times New Roman" w:hAnsi="Times New Roman" w:cs="Times New Roman"/>
          <w:sz w:val="20"/>
          <w:szCs w:val="20"/>
        </w:rPr>
        <w:t>RPCT</w:t>
      </w:r>
      <w:r w:rsidRPr="00CD7FBE">
        <w:rPr>
          <w:rFonts w:ascii="Times New Roman" w:hAnsi="Times New Roman" w:cs="Times New Roman"/>
          <w:sz w:val="20"/>
          <w:szCs w:val="20"/>
        </w:rPr>
        <w:t xml:space="preserve"> individua le migliori modalità per la salvaguardia della riservatezza. Ai fini dell’attività di monitoraggio e controllo il </w:t>
      </w:r>
      <w:r>
        <w:rPr>
          <w:rFonts w:ascii="Times New Roman" w:hAnsi="Times New Roman" w:cs="Times New Roman"/>
          <w:sz w:val="20"/>
          <w:szCs w:val="20"/>
        </w:rPr>
        <w:t>RPCT</w:t>
      </w:r>
      <w:r w:rsidRPr="00CD7FBE">
        <w:rPr>
          <w:rFonts w:ascii="Times New Roman" w:hAnsi="Times New Roman" w:cs="Times New Roman"/>
          <w:sz w:val="20"/>
          <w:szCs w:val="20"/>
        </w:rPr>
        <w:t xml:space="preserve"> si avvale della collaborazione dell’</w:t>
      </w:r>
      <w:r w:rsidRPr="00CD7FBE">
        <w:rPr>
          <w:rFonts w:ascii="Times New Roman" w:hAnsi="Times New Roman" w:cs="Times New Roman"/>
          <w:i/>
          <w:sz w:val="20"/>
          <w:szCs w:val="20"/>
        </w:rPr>
        <w:t xml:space="preserve">Internal Audit </w:t>
      </w:r>
      <w:r w:rsidRPr="00CD7FBE">
        <w:rPr>
          <w:rFonts w:ascii="Times New Roman" w:hAnsi="Times New Roman" w:cs="Times New Roman"/>
          <w:sz w:val="20"/>
          <w:szCs w:val="20"/>
        </w:rPr>
        <w:t>e del “Gruppo permanente di lavoro per il PTPCT”.</w:t>
      </w:r>
    </w:p>
    <w:p w14:paraId="51AA53E8"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0E61D8E8" w14:textId="77777777"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il delicato compito organizzativo e di raccordo che deve essere svolto dal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la legge dispone che allo stesso devo essere assicurato un adeguato supporto, mediante assegnazione di appropriate risorse umane, strumentali e finanziarie, nei limiti della disponibilità di bilancio (l'appropriatezza va intesa non solo dal punto di vista quantitativo, ma anche qualitativo, dovendo assicurare la presenza di elevate professionalità, che dovranno peraltro essere destinatarie di specifica formazione). </w:t>
      </w:r>
    </w:p>
    <w:p w14:paraId="5ACAE5CA" w14:textId="3124EED2" w:rsidR="00603F3F" w:rsidRPr="00CD7FBE" w:rsidRDefault="00603F3F" w:rsidP="00603F3F">
      <w:pPr>
        <w:widowControl w:val="0"/>
        <w:spacing w:after="0"/>
        <w:jc w:val="both"/>
        <w:rPr>
          <w:rFonts w:ascii="Times New Roman" w:hAnsi="Times New Roman"/>
          <w:color w:val="000000"/>
          <w:sz w:val="20"/>
          <w:szCs w:val="20"/>
          <w:lang w:eastAsia="it-IT"/>
        </w:rPr>
      </w:pPr>
      <w:r w:rsidRPr="00BC39E6">
        <w:rPr>
          <w:rFonts w:ascii="Times New Roman" w:hAnsi="Times New Roman"/>
          <w:color w:val="000000"/>
          <w:sz w:val="20"/>
          <w:szCs w:val="20"/>
          <w:lang w:eastAsia="it-IT"/>
        </w:rPr>
        <w:t>Per quanto attiene alle risorse finanziarie, il RPCT propone all’Organo Amministrativo, in considerazione delle effettive esigenze, un budget di spesa annuale per eventuali interventi, consulenze o strumenti necessari all’assolvimento dell’incarico.</w:t>
      </w:r>
    </w:p>
    <w:p w14:paraId="34DE685A" w14:textId="77777777" w:rsidR="00603F3F" w:rsidRDefault="00603F3F" w:rsidP="00603F3F">
      <w:pPr>
        <w:pStyle w:val="Default"/>
        <w:widowControl w:val="0"/>
        <w:spacing w:line="276" w:lineRule="auto"/>
        <w:jc w:val="both"/>
        <w:rPr>
          <w:rFonts w:ascii="Times New Roman" w:hAnsi="Times New Roman" w:cs="Times New Roman"/>
          <w:sz w:val="20"/>
          <w:szCs w:val="20"/>
        </w:rPr>
      </w:pPr>
    </w:p>
    <w:p w14:paraId="7E293600" w14:textId="72F83F3C" w:rsidR="00603F3F" w:rsidRPr="00D67AF3" w:rsidRDefault="00DB2F5B" w:rsidP="00603F3F">
      <w:pPr>
        <w:widowControl w:val="0"/>
        <w:spacing w:after="0"/>
        <w:jc w:val="both"/>
        <w:rPr>
          <w:rFonts w:ascii="Times New Roman" w:hAnsi="Times New Roman"/>
          <w:sz w:val="20"/>
          <w:szCs w:val="20"/>
          <w:lang w:eastAsia="it-IT"/>
        </w:rPr>
      </w:pPr>
      <w:r w:rsidRPr="00F56B16">
        <w:rPr>
          <w:rFonts w:ascii="Times New Roman" w:hAnsi="Times New Roman"/>
          <w:sz w:val="20"/>
          <w:szCs w:val="20"/>
          <w:lang w:eastAsia="it-IT"/>
        </w:rPr>
        <w:t>L’Amministratore Unico</w:t>
      </w:r>
      <w:r w:rsidR="00603F3F" w:rsidRPr="00F56B16">
        <w:rPr>
          <w:rFonts w:ascii="Times New Roman" w:hAnsi="Times New Roman"/>
          <w:sz w:val="20"/>
          <w:szCs w:val="20"/>
          <w:lang w:eastAsia="it-IT"/>
        </w:rPr>
        <w:t xml:space="preserve">, in data </w:t>
      </w:r>
      <w:r w:rsidR="00F56B16" w:rsidRPr="00F56B16">
        <w:rPr>
          <w:rFonts w:ascii="Times New Roman" w:hAnsi="Times New Roman"/>
          <w:sz w:val="20"/>
          <w:szCs w:val="20"/>
          <w:lang w:eastAsia="it-IT"/>
        </w:rPr>
        <w:t>28 settembre</w:t>
      </w:r>
      <w:r w:rsidR="00603F3F" w:rsidRPr="00F56B16">
        <w:rPr>
          <w:rFonts w:ascii="Times New Roman" w:hAnsi="Times New Roman"/>
          <w:sz w:val="20"/>
          <w:szCs w:val="20"/>
          <w:lang w:eastAsia="it-IT"/>
        </w:rPr>
        <w:t xml:space="preserve"> 201</w:t>
      </w:r>
      <w:r w:rsidRPr="00F56B16">
        <w:rPr>
          <w:rFonts w:ascii="Times New Roman" w:hAnsi="Times New Roman"/>
          <w:sz w:val="20"/>
          <w:szCs w:val="20"/>
          <w:lang w:eastAsia="it-IT"/>
        </w:rPr>
        <w:t>8</w:t>
      </w:r>
      <w:r w:rsidR="00603F3F" w:rsidRPr="00F56B16">
        <w:rPr>
          <w:rFonts w:ascii="Times New Roman" w:hAnsi="Times New Roman"/>
          <w:sz w:val="20"/>
          <w:szCs w:val="20"/>
          <w:lang w:eastAsia="it-IT"/>
        </w:rPr>
        <w:t>, ha provveduto a nominare il</w:t>
      </w:r>
      <w:r w:rsidRPr="00F56B16">
        <w:rPr>
          <w:rFonts w:ascii="Times New Roman" w:hAnsi="Times New Roman"/>
          <w:spacing w:val="-2"/>
          <w:sz w:val="20"/>
          <w:szCs w:val="20"/>
        </w:rPr>
        <w:t xml:space="preserve"> Direttore</w:t>
      </w:r>
      <w:r w:rsidR="00603F3F" w:rsidRPr="00F56B16">
        <w:rPr>
          <w:rFonts w:ascii="Times New Roman" w:hAnsi="Times New Roman"/>
          <w:spacing w:val="-1"/>
          <w:sz w:val="20"/>
          <w:szCs w:val="20"/>
        </w:rPr>
        <w:t xml:space="preserve"> dott. </w:t>
      </w:r>
      <w:r w:rsidRPr="00F56B16">
        <w:rPr>
          <w:rFonts w:ascii="Times New Roman" w:hAnsi="Times New Roman"/>
          <w:spacing w:val="-1"/>
          <w:sz w:val="20"/>
          <w:szCs w:val="20"/>
        </w:rPr>
        <w:t>Michele Bernardini</w:t>
      </w:r>
      <w:r w:rsidR="00603F3F" w:rsidRPr="00F56B16">
        <w:rPr>
          <w:rFonts w:ascii="Times New Roman" w:hAnsi="Times New Roman"/>
          <w:sz w:val="20"/>
          <w:szCs w:val="20"/>
          <w:lang w:eastAsia="it-IT"/>
        </w:rPr>
        <w:t xml:space="preserve"> nella funzione di RPCT in esecuzione dell'art. 1, comma 7, della legge 190/2012</w:t>
      </w:r>
      <w:r w:rsidR="00603F3F" w:rsidRPr="00F56B16">
        <w:rPr>
          <w:rStyle w:val="Rimandonotadichiusura"/>
          <w:rFonts w:ascii="Times New Roman" w:hAnsi="Times New Roman"/>
          <w:sz w:val="20"/>
          <w:szCs w:val="20"/>
          <w:lang w:eastAsia="it-IT"/>
        </w:rPr>
        <w:endnoteReference w:id="39"/>
      </w:r>
      <w:r w:rsidR="00603F3F" w:rsidRPr="00F56B16">
        <w:rPr>
          <w:rFonts w:ascii="Times New Roman" w:hAnsi="Times New Roman"/>
          <w:sz w:val="20"/>
          <w:szCs w:val="20"/>
          <w:lang w:eastAsia="it-IT"/>
        </w:rPr>
        <w:t xml:space="preserve"> e del comma 1 dell’articolo 43 </w:t>
      </w:r>
      <w:r w:rsidR="00603F3F" w:rsidRPr="00F56B16">
        <w:rPr>
          <w:rFonts w:ascii="Times New Roman" w:hAnsi="Times New Roman"/>
          <w:noProof/>
          <w:sz w:val="20"/>
          <w:szCs w:val="20"/>
        </w:rPr>
        <w:t xml:space="preserve">del </w:t>
      </w:r>
      <w:r w:rsidR="00FD1782" w:rsidRPr="00F56B16">
        <w:rPr>
          <w:rFonts w:ascii="Times New Roman" w:hAnsi="Times New Roman"/>
          <w:spacing w:val="-2"/>
          <w:sz w:val="20"/>
          <w:szCs w:val="20"/>
        </w:rPr>
        <w:t>D.</w:t>
      </w:r>
      <w:r w:rsidR="00603F3F" w:rsidRPr="00F56B16">
        <w:rPr>
          <w:rFonts w:ascii="Times New Roman" w:hAnsi="Times New Roman"/>
          <w:spacing w:val="-2"/>
          <w:sz w:val="20"/>
          <w:szCs w:val="20"/>
        </w:rPr>
        <w:t>Lgs. 33/2013</w:t>
      </w:r>
      <w:r w:rsidRPr="00F56B16">
        <w:rPr>
          <w:rFonts w:ascii="Times New Roman" w:hAnsi="Times New Roman"/>
          <w:spacing w:val="-2"/>
          <w:sz w:val="20"/>
          <w:szCs w:val="20"/>
        </w:rPr>
        <w:t>,</w:t>
      </w:r>
      <w:r w:rsidR="00603F3F" w:rsidRPr="00F56B16">
        <w:rPr>
          <w:rFonts w:ascii="Times New Roman" w:hAnsi="Times New Roman"/>
          <w:sz w:val="20"/>
          <w:szCs w:val="20"/>
          <w:lang w:eastAsia="it-IT"/>
        </w:rPr>
        <w:t xml:space="preserve"> il quale ha l’obiettivo di prevenire e contrastare la corruzione anche attraverso la promozione della trasparenza, intesa come strumento di </w:t>
      </w:r>
      <w:r w:rsidR="00603F3F" w:rsidRPr="00F56B16">
        <w:rPr>
          <w:rFonts w:ascii="Times New Roman" w:hAnsi="Times New Roman"/>
          <w:i/>
          <w:iCs/>
          <w:sz w:val="20"/>
          <w:szCs w:val="20"/>
          <w:lang w:eastAsia="it-IT"/>
        </w:rPr>
        <w:t xml:space="preserve">accountability </w:t>
      </w:r>
      <w:r w:rsidR="00603F3F" w:rsidRPr="00F56B16">
        <w:rPr>
          <w:rFonts w:ascii="Times New Roman" w:hAnsi="Times New Roman"/>
          <w:sz w:val="20"/>
          <w:szCs w:val="20"/>
          <w:lang w:eastAsia="it-IT"/>
        </w:rPr>
        <w:t>e di controllo diffuso e integrità.</w:t>
      </w:r>
      <w:r w:rsidR="00603F3F" w:rsidRPr="00D67AF3">
        <w:rPr>
          <w:rFonts w:ascii="Times New Roman" w:hAnsi="Times New Roman"/>
          <w:sz w:val="20"/>
          <w:szCs w:val="20"/>
          <w:lang w:eastAsia="it-IT"/>
        </w:rPr>
        <w:t xml:space="preserve"> </w:t>
      </w:r>
    </w:p>
    <w:p w14:paraId="0E09A10E"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22743DBA" w14:textId="77777777" w:rsidR="00603F3F" w:rsidRPr="00A436DF" w:rsidRDefault="00603F3F" w:rsidP="00603F3F">
      <w:pPr>
        <w:pStyle w:val="Titolo4"/>
        <w:keepNext w:val="0"/>
        <w:widowControl w:val="0"/>
        <w:rPr>
          <w:b/>
        </w:rPr>
      </w:pPr>
      <w:bookmarkStart w:id="491" w:name="punto4.3"/>
      <w:bookmarkStart w:id="492" w:name="_Toc473547399"/>
      <w:bookmarkStart w:id="493" w:name="_Toc535854435"/>
      <w:bookmarkStart w:id="494" w:name="_Toc454796213"/>
      <w:bookmarkStart w:id="495" w:name="_Toc454796275"/>
      <w:bookmarkEnd w:id="491"/>
      <w:r w:rsidRPr="00A436DF">
        <w:rPr>
          <w:b/>
        </w:rPr>
        <w:t xml:space="preserve">1.3.3. </w:t>
      </w:r>
      <w:r w:rsidRPr="00A436DF">
        <w:rPr>
          <w:b/>
        </w:rPr>
        <w:tab/>
        <w:t>Il Gruppo permanente di lavoro per il PTPCT</w:t>
      </w:r>
      <w:bookmarkEnd w:id="492"/>
      <w:bookmarkEnd w:id="493"/>
    </w:p>
    <w:p w14:paraId="6070BF6B" w14:textId="77777777" w:rsidR="00603F3F" w:rsidRPr="00BC39E6" w:rsidRDefault="00603F3F" w:rsidP="00603F3F">
      <w:pPr>
        <w:widowControl w:val="0"/>
        <w:spacing w:after="0"/>
        <w:jc w:val="both"/>
        <w:rPr>
          <w:rFonts w:ascii="Times New Roman" w:hAnsi="Times New Roman"/>
          <w:sz w:val="20"/>
          <w:szCs w:val="20"/>
        </w:rPr>
      </w:pPr>
      <w:r w:rsidRPr="00BC39E6">
        <w:rPr>
          <w:rFonts w:ascii="Times New Roman" w:hAnsi="Times New Roman"/>
          <w:sz w:val="20"/>
          <w:szCs w:val="20"/>
        </w:rPr>
        <w:t>Al fine di monitorare l’attuazione del PTPCT e per adeguare lo stesso alle esigenze organizzative della società, alle novità normative e regolamentari nonché alla sua revisione annuale è costituito il “Gruppo permanente di lavoro per il PTPCT”.</w:t>
      </w:r>
    </w:p>
    <w:p w14:paraId="606C4436" w14:textId="77777777" w:rsidR="00603F3F" w:rsidRDefault="00603F3F" w:rsidP="00603F3F">
      <w:pPr>
        <w:widowControl w:val="0"/>
        <w:spacing w:after="0"/>
        <w:jc w:val="both"/>
        <w:rPr>
          <w:rFonts w:ascii="Times New Roman" w:hAnsi="Times New Roman"/>
          <w:sz w:val="20"/>
          <w:szCs w:val="20"/>
        </w:rPr>
      </w:pPr>
      <w:r w:rsidRPr="00BC39E6">
        <w:rPr>
          <w:rFonts w:ascii="Times New Roman" w:hAnsi="Times New Roman"/>
          <w:sz w:val="20"/>
          <w:szCs w:val="20"/>
        </w:rPr>
        <w:t>Il gruppo è costituito</w:t>
      </w:r>
      <w:r>
        <w:rPr>
          <w:rFonts w:ascii="Times New Roman" w:hAnsi="Times New Roman"/>
          <w:sz w:val="20"/>
          <w:szCs w:val="20"/>
        </w:rPr>
        <w:t>:</w:t>
      </w:r>
    </w:p>
    <w:p w14:paraId="3481AB60" w14:textId="0EF82A7E" w:rsidR="00603F3F" w:rsidRPr="003C7D28" w:rsidRDefault="00AA0B77" w:rsidP="00AA0B77">
      <w:pPr>
        <w:pStyle w:val="Paragrafoelenco"/>
        <w:widowControl w:val="0"/>
        <w:spacing w:after="0" w:line="276" w:lineRule="auto"/>
        <w:jc w:val="both"/>
        <w:rPr>
          <w:rFonts w:ascii="Times New Roman" w:hAnsi="Times New Roman"/>
          <w:i/>
          <w:sz w:val="20"/>
          <w:szCs w:val="20"/>
        </w:rPr>
      </w:pPr>
      <w:r>
        <w:rPr>
          <w:rFonts w:ascii="Times New Roman" w:hAnsi="Times New Roman"/>
          <w:sz w:val="20"/>
          <w:szCs w:val="20"/>
        </w:rPr>
        <w:t xml:space="preserve">- </w:t>
      </w:r>
      <w:r w:rsidR="00603F3F" w:rsidRPr="003C7D28">
        <w:rPr>
          <w:rFonts w:ascii="Times New Roman" w:hAnsi="Times New Roman"/>
          <w:i/>
          <w:sz w:val="20"/>
          <w:szCs w:val="20"/>
        </w:rPr>
        <w:t>da</w:t>
      </w:r>
      <w:r w:rsidR="00301D73" w:rsidRPr="003C7D28">
        <w:rPr>
          <w:rFonts w:ascii="Times New Roman" w:hAnsi="Times New Roman"/>
          <w:i/>
          <w:sz w:val="20"/>
          <w:szCs w:val="20"/>
        </w:rPr>
        <w:t>l Direttore;</w:t>
      </w:r>
      <w:r w:rsidR="00603F3F" w:rsidRPr="003C7D28">
        <w:rPr>
          <w:rFonts w:ascii="Times New Roman" w:hAnsi="Times New Roman"/>
          <w:i/>
          <w:sz w:val="20"/>
          <w:szCs w:val="20"/>
        </w:rPr>
        <w:t xml:space="preserve"> </w:t>
      </w:r>
    </w:p>
    <w:p w14:paraId="6D9860F5" w14:textId="119E57BB" w:rsidR="00603F3F" w:rsidRPr="003C7D28" w:rsidRDefault="00AA0B77" w:rsidP="00AA0B77">
      <w:pPr>
        <w:pStyle w:val="Paragrafoelenco"/>
        <w:widowControl w:val="0"/>
        <w:spacing w:after="0" w:line="276" w:lineRule="auto"/>
        <w:jc w:val="both"/>
        <w:rPr>
          <w:rFonts w:ascii="Times New Roman" w:hAnsi="Times New Roman"/>
          <w:i/>
          <w:sz w:val="20"/>
          <w:szCs w:val="20"/>
        </w:rPr>
      </w:pPr>
      <w:r w:rsidRPr="003C7D28">
        <w:rPr>
          <w:rFonts w:ascii="Times New Roman" w:hAnsi="Times New Roman"/>
          <w:i/>
          <w:sz w:val="20"/>
          <w:szCs w:val="20"/>
        </w:rPr>
        <w:t xml:space="preserve">- </w:t>
      </w:r>
      <w:r w:rsidR="00603F3F" w:rsidRPr="003C7D28">
        <w:rPr>
          <w:rFonts w:ascii="Times New Roman" w:hAnsi="Times New Roman"/>
          <w:i/>
          <w:sz w:val="20"/>
          <w:szCs w:val="20"/>
        </w:rPr>
        <w:t xml:space="preserve">dai Responsabili delle strutture Internal Audit e </w:t>
      </w:r>
      <w:r w:rsidR="00E0441E" w:rsidRPr="003C7D28">
        <w:rPr>
          <w:rFonts w:ascii="Times New Roman" w:hAnsi="Times New Roman"/>
          <w:i/>
          <w:sz w:val="20"/>
          <w:szCs w:val="20"/>
        </w:rPr>
        <w:t>Comu</w:t>
      </w:r>
      <w:r w:rsidR="0089562B" w:rsidRPr="003C7D28">
        <w:rPr>
          <w:rFonts w:ascii="Times New Roman" w:hAnsi="Times New Roman"/>
          <w:i/>
          <w:sz w:val="20"/>
          <w:szCs w:val="20"/>
        </w:rPr>
        <w:t>nicazione</w:t>
      </w:r>
      <w:r w:rsidR="00603F3F" w:rsidRPr="003C7D28">
        <w:rPr>
          <w:rFonts w:ascii="Times New Roman" w:hAnsi="Times New Roman"/>
          <w:i/>
          <w:sz w:val="20"/>
          <w:szCs w:val="20"/>
        </w:rPr>
        <w:t xml:space="preserve"> </w:t>
      </w:r>
    </w:p>
    <w:p w14:paraId="09CC841A" w14:textId="07B11E35" w:rsidR="00603F3F" w:rsidRPr="003C7D28" w:rsidRDefault="00AA0B77" w:rsidP="00AA0B77">
      <w:pPr>
        <w:pStyle w:val="Paragrafoelenco"/>
        <w:widowControl w:val="0"/>
        <w:spacing w:after="0" w:line="276" w:lineRule="auto"/>
        <w:jc w:val="both"/>
        <w:rPr>
          <w:rFonts w:ascii="Times New Roman" w:hAnsi="Times New Roman"/>
          <w:i/>
          <w:sz w:val="20"/>
          <w:szCs w:val="20"/>
        </w:rPr>
      </w:pPr>
      <w:r w:rsidRPr="003C7D28">
        <w:rPr>
          <w:rFonts w:ascii="Times New Roman" w:hAnsi="Times New Roman"/>
          <w:i/>
          <w:sz w:val="20"/>
          <w:szCs w:val="20"/>
        </w:rPr>
        <w:t xml:space="preserve">- </w:t>
      </w:r>
      <w:r w:rsidR="0089562B" w:rsidRPr="003C7D28">
        <w:rPr>
          <w:rFonts w:ascii="Times New Roman" w:hAnsi="Times New Roman"/>
          <w:i/>
          <w:sz w:val="20"/>
          <w:szCs w:val="20"/>
        </w:rPr>
        <w:t>dai Responsabili dei Settori e Divisioni</w:t>
      </w:r>
      <w:r w:rsidR="00603F3F" w:rsidRPr="003C7D28">
        <w:rPr>
          <w:rFonts w:ascii="Times New Roman" w:hAnsi="Times New Roman"/>
          <w:i/>
          <w:sz w:val="20"/>
          <w:szCs w:val="20"/>
        </w:rPr>
        <w:t>.</w:t>
      </w:r>
    </w:p>
    <w:p w14:paraId="0C86750A" w14:textId="63CAE893" w:rsidR="00603F3F" w:rsidRPr="003D1740" w:rsidRDefault="00603F3F" w:rsidP="00603F3F">
      <w:pPr>
        <w:widowControl w:val="0"/>
        <w:spacing w:after="0"/>
        <w:jc w:val="both"/>
        <w:rPr>
          <w:rFonts w:ascii="Times New Roman" w:hAnsi="Times New Roman"/>
          <w:sz w:val="20"/>
          <w:szCs w:val="20"/>
        </w:rPr>
      </w:pPr>
      <w:r w:rsidRPr="00BC39E6">
        <w:rPr>
          <w:rFonts w:ascii="Times New Roman" w:hAnsi="Times New Roman"/>
          <w:sz w:val="20"/>
          <w:szCs w:val="20"/>
        </w:rPr>
        <w:t xml:space="preserve">A tale gruppo di lavoro è affidato al coordinamento </w:t>
      </w:r>
      <w:r w:rsidR="00D67AF3">
        <w:rPr>
          <w:rFonts w:ascii="Times New Roman" w:hAnsi="Times New Roman"/>
          <w:sz w:val="20"/>
          <w:szCs w:val="20"/>
        </w:rPr>
        <w:t>del RPCT che, unitamente all’Od</w:t>
      </w:r>
      <w:r w:rsidR="004C1E11">
        <w:rPr>
          <w:rFonts w:ascii="Times New Roman" w:hAnsi="Times New Roman"/>
          <w:sz w:val="20"/>
          <w:szCs w:val="20"/>
        </w:rPr>
        <w:t>V,</w:t>
      </w:r>
      <w:r w:rsidRPr="00BC39E6">
        <w:rPr>
          <w:rFonts w:ascii="Times New Roman" w:hAnsi="Times New Roman"/>
          <w:sz w:val="20"/>
          <w:szCs w:val="20"/>
        </w:rPr>
        <w:t xml:space="preserve"> fornisce</w:t>
      </w:r>
      <w:r w:rsidRPr="00CD7FBE">
        <w:rPr>
          <w:rFonts w:ascii="Times New Roman" w:hAnsi="Times New Roman"/>
          <w:sz w:val="20"/>
          <w:szCs w:val="20"/>
        </w:rPr>
        <w:t xml:space="preserve"> indicazioni/istruzioni e rappresenta il riferimento societario per l’implementazione della politica di prevenzione e dei relativi adempimenti nell’ambito aziendale.</w:t>
      </w:r>
      <w:r>
        <w:rPr>
          <w:rFonts w:ascii="Times New Roman" w:hAnsi="Times New Roman"/>
          <w:sz w:val="20"/>
          <w:szCs w:val="20"/>
        </w:rPr>
        <w:t xml:space="preserve"> </w:t>
      </w:r>
      <w:r w:rsidRPr="00CD7FBE">
        <w:rPr>
          <w:rFonts w:ascii="Times New Roman" w:hAnsi="Times New Roman"/>
          <w:sz w:val="20"/>
          <w:szCs w:val="20"/>
        </w:rPr>
        <w:t>In tal modo, viene rafforzato il ruolo assegnato a</w:t>
      </w:r>
      <w:r w:rsidR="00301D73">
        <w:rPr>
          <w:rFonts w:ascii="Times New Roman" w:hAnsi="Times New Roman"/>
          <w:sz w:val="20"/>
          <w:szCs w:val="20"/>
        </w:rPr>
        <w:t>l</w:t>
      </w:r>
      <w:r>
        <w:rPr>
          <w:rFonts w:ascii="Times New Roman" w:hAnsi="Times New Roman"/>
          <w:sz w:val="20"/>
          <w:szCs w:val="20"/>
        </w:rPr>
        <w:t xml:space="preserve"> D</w:t>
      </w:r>
      <w:r w:rsidR="00301D73">
        <w:rPr>
          <w:rFonts w:ascii="Times New Roman" w:hAnsi="Times New Roman"/>
          <w:sz w:val="20"/>
          <w:szCs w:val="20"/>
        </w:rPr>
        <w:t>irettore</w:t>
      </w:r>
      <w:r w:rsidRPr="00CD7FBE">
        <w:rPr>
          <w:rFonts w:ascii="Times New Roman" w:hAnsi="Times New Roman"/>
          <w:sz w:val="20"/>
          <w:szCs w:val="20"/>
        </w:rPr>
        <w:t xml:space="preserve"> e</w:t>
      </w:r>
      <w:r>
        <w:rPr>
          <w:rFonts w:ascii="Times New Roman" w:hAnsi="Times New Roman"/>
          <w:sz w:val="20"/>
          <w:szCs w:val="20"/>
        </w:rPr>
        <w:t>d</w:t>
      </w:r>
      <w:r w:rsidR="0089562B">
        <w:rPr>
          <w:rFonts w:ascii="Times New Roman" w:hAnsi="Times New Roman"/>
          <w:sz w:val="20"/>
          <w:szCs w:val="20"/>
        </w:rPr>
        <w:t xml:space="preserve"> ai Responsabili dei Settori e delle Divisioni</w:t>
      </w:r>
      <w:r w:rsidRPr="00CD7FBE">
        <w:rPr>
          <w:rFonts w:ascii="Times New Roman" w:hAnsi="Times New Roman"/>
          <w:sz w:val="20"/>
          <w:szCs w:val="20"/>
        </w:rPr>
        <w:t xml:space="preserve">, non solo nell’ambito delle attività di rilevazione propedeutiche alla predisposizione del piano ma anche ai fini del </w:t>
      </w:r>
      <w:r w:rsidRPr="0089562B">
        <w:rPr>
          <w:rFonts w:ascii="Times New Roman" w:hAnsi="Times New Roman"/>
          <w:sz w:val="20"/>
          <w:szCs w:val="20"/>
        </w:rPr>
        <w:t xml:space="preserve">monitoraggio. </w:t>
      </w:r>
      <w:r w:rsidRPr="00CD7FBE">
        <w:rPr>
          <w:rFonts w:ascii="Times New Roman" w:hAnsi="Times New Roman"/>
          <w:sz w:val="20"/>
          <w:szCs w:val="20"/>
        </w:rPr>
        <w:t xml:space="preserve">In particolare, ai suddetti soggetti sono attribuiti poteri propositivi e di controllo e </w:t>
      </w:r>
      <w:r w:rsidRPr="0089562B">
        <w:rPr>
          <w:rFonts w:ascii="Times New Roman" w:hAnsi="Times New Roman"/>
          <w:sz w:val="20"/>
          <w:szCs w:val="20"/>
        </w:rPr>
        <w:t>obblighi di collaborazione, di monitoraggio e di azione diretta di prevenzione della corruzione.</w:t>
      </w:r>
      <w:r w:rsidRPr="00CD7FBE">
        <w:rPr>
          <w:rFonts w:ascii="Times New Roman" w:hAnsi="Times New Roman"/>
          <w:sz w:val="20"/>
          <w:szCs w:val="20"/>
        </w:rPr>
        <w:t xml:space="preserve"> </w:t>
      </w:r>
      <w:r w:rsidRPr="003D1740">
        <w:rPr>
          <w:rFonts w:ascii="Times New Roman" w:hAnsi="Times New Roman"/>
          <w:b/>
          <w:sz w:val="20"/>
          <w:szCs w:val="20"/>
        </w:rPr>
        <w:t>Gli obblighi soprarichiamati</w:t>
      </w:r>
      <w:r w:rsidRPr="00974CED">
        <w:rPr>
          <w:rFonts w:ascii="Times New Roman" w:hAnsi="Times New Roman"/>
          <w:b/>
          <w:sz w:val="20"/>
          <w:szCs w:val="20"/>
        </w:rPr>
        <w:t xml:space="preserve"> costituiscono</w:t>
      </w:r>
      <w:r>
        <w:rPr>
          <w:rFonts w:ascii="Times New Roman" w:hAnsi="Times New Roman"/>
          <w:b/>
          <w:sz w:val="20"/>
          <w:szCs w:val="20"/>
        </w:rPr>
        <w:t>,</w:t>
      </w:r>
      <w:r w:rsidRPr="00974CED">
        <w:rPr>
          <w:rFonts w:ascii="Times New Roman" w:hAnsi="Times New Roman"/>
          <w:b/>
          <w:sz w:val="20"/>
          <w:szCs w:val="20"/>
        </w:rPr>
        <w:t xml:space="preserve"> per i suddetti soggetti</w:t>
      </w:r>
      <w:r>
        <w:rPr>
          <w:rFonts w:ascii="Times New Roman" w:hAnsi="Times New Roman"/>
          <w:b/>
          <w:sz w:val="20"/>
          <w:szCs w:val="20"/>
        </w:rPr>
        <w:t>,</w:t>
      </w:r>
      <w:r w:rsidRPr="00CD7FBE">
        <w:rPr>
          <w:rFonts w:ascii="Times New Roman" w:hAnsi="Times New Roman"/>
          <w:sz w:val="20"/>
          <w:szCs w:val="20"/>
        </w:rPr>
        <w:t xml:space="preserve"> </w:t>
      </w:r>
      <w:r w:rsidRPr="00974CED">
        <w:rPr>
          <w:rFonts w:ascii="Times New Roman" w:hAnsi="Times New Roman"/>
          <w:b/>
          <w:sz w:val="20"/>
          <w:szCs w:val="20"/>
        </w:rPr>
        <w:t>parte integrante degli obiettivi a cui è subordinata la corresponsione del premio di risultato</w:t>
      </w:r>
      <w:r w:rsidRPr="003D1740">
        <w:rPr>
          <w:rFonts w:ascii="Times New Roman" w:hAnsi="Times New Roman"/>
          <w:sz w:val="20"/>
          <w:szCs w:val="20"/>
        </w:rPr>
        <w:t>.</w:t>
      </w:r>
    </w:p>
    <w:p w14:paraId="1D44B05D"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6F2EAE4F" w14:textId="1BDA2CB2" w:rsidR="00603F3F" w:rsidRPr="00531BD0" w:rsidRDefault="00603F3F" w:rsidP="00603F3F">
      <w:pPr>
        <w:pStyle w:val="Titolo4"/>
        <w:keepNext w:val="0"/>
        <w:widowControl w:val="0"/>
        <w:jc w:val="both"/>
        <w:rPr>
          <w:b/>
        </w:rPr>
      </w:pPr>
      <w:bookmarkStart w:id="496" w:name="_Toc473547400"/>
      <w:bookmarkStart w:id="497" w:name="_Toc535854436"/>
      <w:r w:rsidRPr="00531BD0">
        <w:rPr>
          <w:b/>
        </w:rPr>
        <w:t xml:space="preserve">1.3.4. </w:t>
      </w:r>
      <w:r w:rsidRPr="00531BD0">
        <w:rPr>
          <w:b/>
        </w:rPr>
        <w:tab/>
      </w:r>
      <w:bookmarkEnd w:id="494"/>
      <w:bookmarkEnd w:id="495"/>
      <w:r w:rsidRPr="00531BD0">
        <w:rPr>
          <w:b/>
        </w:rPr>
        <w:t>I</w:t>
      </w:r>
      <w:r w:rsidR="002B2E05" w:rsidRPr="00531BD0">
        <w:rPr>
          <w:b/>
          <w:lang w:val="it-IT"/>
        </w:rPr>
        <w:t>l</w:t>
      </w:r>
      <w:r w:rsidRPr="00531BD0">
        <w:rPr>
          <w:b/>
        </w:rPr>
        <w:t xml:space="preserve"> </w:t>
      </w:r>
      <w:r w:rsidR="002B2E05" w:rsidRPr="00531BD0">
        <w:rPr>
          <w:b/>
          <w:szCs w:val="20"/>
        </w:rPr>
        <w:t>Direttore</w:t>
      </w:r>
      <w:r w:rsidRPr="00531BD0">
        <w:rPr>
          <w:b/>
          <w:szCs w:val="20"/>
        </w:rPr>
        <w:t>,</w:t>
      </w:r>
      <w:r w:rsidRPr="00531BD0">
        <w:rPr>
          <w:b/>
        </w:rPr>
        <w:t xml:space="preserve"> i Responsabili</w:t>
      </w:r>
      <w:bookmarkEnd w:id="496"/>
      <w:r w:rsidRPr="00531BD0">
        <w:rPr>
          <w:b/>
          <w:szCs w:val="20"/>
        </w:rPr>
        <w:t xml:space="preserve"> di </w:t>
      </w:r>
      <w:r w:rsidR="0089562B">
        <w:rPr>
          <w:b/>
          <w:szCs w:val="20"/>
          <w:lang w:val="it-IT"/>
        </w:rPr>
        <w:t xml:space="preserve">Settore e Divisioni </w:t>
      </w:r>
      <w:r w:rsidRPr="00531BD0">
        <w:rPr>
          <w:b/>
          <w:szCs w:val="20"/>
        </w:rPr>
        <w:t>ed i Coordinatori di funzione o di servizio/progetto</w:t>
      </w:r>
      <w:bookmarkEnd w:id="497"/>
    </w:p>
    <w:p w14:paraId="0FFB6D0E" w14:textId="762EEEA9" w:rsidR="00603F3F" w:rsidRPr="002B2E05" w:rsidRDefault="00603F3F" w:rsidP="00603F3F">
      <w:pPr>
        <w:pStyle w:val="Default"/>
        <w:widowControl w:val="0"/>
        <w:spacing w:line="276" w:lineRule="auto"/>
        <w:jc w:val="both"/>
        <w:rPr>
          <w:rFonts w:ascii="Times New Roman" w:hAnsi="Times New Roman"/>
          <w:color w:val="auto"/>
          <w:sz w:val="20"/>
        </w:rPr>
      </w:pPr>
      <w:r w:rsidRPr="002B2E05">
        <w:rPr>
          <w:rFonts w:ascii="Times New Roman" w:hAnsi="Times New Roman" w:cs="Times New Roman"/>
          <w:sz w:val="20"/>
          <w:szCs w:val="20"/>
        </w:rPr>
        <w:t xml:space="preserve">La legge affida ai </w:t>
      </w:r>
      <w:r w:rsidR="00531BD0">
        <w:rPr>
          <w:rFonts w:ascii="Times New Roman" w:hAnsi="Times New Roman" w:cs="Times New Roman"/>
          <w:sz w:val="20"/>
          <w:szCs w:val="20"/>
        </w:rPr>
        <w:t>/Responsabili</w:t>
      </w:r>
      <w:r w:rsidRPr="002B2E05">
        <w:rPr>
          <w:rFonts w:ascii="Times New Roman" w:hAnsi="Times New Roman" w:cs="Times New Roman"/>
          <w:sz w:val="20"/>
          <w:szCs w:val="20"/>
        </w:rPr>
        <w:t xml:space="preserve"> poteri di controllo e obblighi di collaborazione e monitoraggio in materia di prevenzione della corruzione. </w:t>
      </w:r>
      <w:r w:rsidRPr="002B2E05">
        <w:rPr>
          <w:rFonts w:ascii="Times New Roman" w:hAnsi="Times New Roman"/>
          <w:color w:val="auto"/>
          <w:sz w:val="20"/>
        </w:rPr>
        <w:t>I</w:t>
      </w:r>
      <w:r w:rsidR="002B2E05" w:rsidRPr="002B2E05">
        <w:rPr>
          <w:rFonts w:ascii="Times New Roman" w:hAnsi="Times New Roman"/>
          <w:color w:val="auto"/>
          <w:sz w:val="20"/>
        </w:rPr>
        <w:t>l Direttore</w:t>
      </w:r>
      <w:r w:rsidRPr="002B2E05">
        <w:rPr>
          <w:rFonts w:ascii="Times New Roman" w:hAnsi="Times New Roman" w:cs="Times New Roman"/>
          <w:color w:val="auto"/>
          <w:sz w:val="20"/>
          <w:szCs w:val="20"/>
        </w:rPr>
        <w:t>,</w:t>
      </w:r>
      <w:r w:rsidRPr="002B2E05">
        <w:rPr>
          <w:rFonts w:ascii="Times New Roman" w:hAnsi="Times New Roman"/>
          <w:color w:val="auto"/>
          <w:sz w:val="20"/>
        </w:rPr>
        <w:t xml:space="preserve"> i Responsabili d</w:t>
      </w:r>
      <w:r w:rsidR="005B2CD3">
        <w:rPr>
          <w:rFonts w:ascii="Times New Roman" w:hAnsi="Times New Roman"/>
          <w:color w:val="auto"/>
          <w:sz w:val="20"/>
        </w:rPr>
        <w:t>ei Settori e Divisioni</w:t>
      </w:r>
      <w:r w:rsidRPr="002B2E05">
        <w:rPr>
          <w:rFonts w:ascii="Times New Roman" w:hAnsi="Times New Roman" w:cs="Times New Roman"/>
          <w:color w:val="auto"/>
          <w:sz w:val="20"/>
          <w:szCs w:val="20"/>
        </w:rPr>
        <w:t xml:space="preserve">, i </w:t>
      </w:r>
      <w:r w:rsidRPr="002B2E05">
        <w:rPr>
          <w:rFonts w:ascii="Times New Roman" w:hAnsi="Times New Roman"/>
          <w:color w:val="auto"/>
          <w:sz w:val="20"/>
          <w:szCs w:val="20"/>
        </w:rPr>
        <w:t>Responsabili ed i Coordinatori di funzione o di servizio/progetto</w:t>
      </w:r>
      <w:r w:rsidRPr="002B2E05">
        <w:rPr>
          <w:rFonts w:ascii="Times New Roman" w:hAnsi="Times New Roman"/>
          <w:color w:val="auto"/>
          <w:sz w:val="20"/>
        </w:rPr>
        <w:t>:</w:t>
      </w:r>
    </w:p>
    <w:p w14:paraId="3B937B5E" w14:textId="37FD875C"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2B2E05">
        <w:rPr>
          <w:rFonts w:ascii="Times New Roman" w:hAnsi="Times New Roman" w:cs="Times New Roman"/>
          <w:sz w:val="20"/>
          <w:szCs w:val="20"/>
        </w:rPr>
        <w:t>-</w:t>
      </w:r>
      <w:r w:rsidRPr="002B2E05">
        <w:rPr>
          <w:rFonts w:ascii="Times New Roman" w:hAnsi="Times New Roman" w:cs="Times New Roman"/>
          <w:sz w:val="20"/>
          <w:szCs w:val="20"/>
        </w:rPr>
        <w:tab/>
      </w:r>
      <w:r w:rsidRPr="0047360A">
        <w:rPr>
          <w:rFonts w:ascii="Times New Roman" w:hAnsi="Times New Roman" w:cs="Times New Roman"/>
          <w:i/>
          <w:sz w:val="20"/>
          <w:szCs w:val="20"/>
        </w:rPr>
        <w:t>svolgono attività informativa nei confronti del RPCT, oltre che dell’OdV, affinché questi abbia elementi e riscontri sull’intera organizzazione ed attività della società, e di costante monitoraggio sull’attività svolta dagli uffici di riferimento, anche in relazione agli obblighi di rotazione del personale;</w:t>
      </w:r>
    </w:p>
    <w:p w14:paraId="23F0915A"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 xml:space="preserve">svolgono attività informativa nei confronti dell’Autorità giudiziaria; </w:t>
      </w:r>
    </w:p>
    <w:p w14:paraId="5F04F91E"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 xml:space="preserve">partecipano al processo di gestione del rischio proponendo le misure di prevenzione e/o l’aggiornamento di quelle esistenti; </w:t>
      </w:r>
    </w:p>
    <w:p w14:paraId="5CD5E26B"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assicurano l’osservanza del Codice Etico e di Comportamento e del T.U. Regolamenti e Procedure (e più in generale del MOG) e verificano le ipotesi di violazione;</w:t>
      </w:r>
    </w:p>
    <w:p w14:paraId="145BF9A4"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 xml:space="preserve">adottano le misure gestionali quali l’avvio di procedimenti disciplinari, la sospensione e rotazione del personale; </w:t>
      </w:r>
    </w:p>
    <w:p w14:paraId="2784C918"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w:t>
      </w:r>
      <w:r w:rsidRPr="0047360A">
        <w:rPr>
          <w:rFonts w:ascii="Times New Roman" w:hAnsi="Times New Roman" w:cs="Times New Roman"/>
          <w:i/>
          <w:sz w:val="20"/>
          <w:szCs w:val="20"/>
        </w:rPr>
        <w:tab/>
        <w:t>osservano le misure contenute nel PTPCT;</w:t>
      </w:r>
    </w:p>
    <w:p w14:paraId="2C236042"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 supportano il RPCT e l’OdV nelle attività di monitoraggio periodico secondo le disposizioni di cui al successivo paragrafo 9;</w:t>
      </w:r>
    </w:p>
    <w:p w14:paraId="643082D7" w14:textId="77777777" w:rsidR="00603F3F" w:rsidRPr="0047360A"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47360A">
        <w:rPr>
          <w:rFonts w:ascii="Times New Roman" w:hAnsi="Times New Roman" w:cs="Times New Roman"/>
          <w:i/>
          <w:sz w:val="20"/>
          <w:szCs w:val="20"/>
        </w:rPr>
        <w:t>- attestano, secondo le modalità di cui al successivo paragrafo 9, la regolarità degli atti e delle procedure di propria competenza.</w:t>
      </w:r>
    </w:p>
    <w:p w14:paraId="34185B28"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256DDA56" w14:textId="1428B782" w:rsidR="00603F3F" w:rsidRPr="009848BD" w:rsidRDefault="00603F3F" w:rsidP="00603F3F">
      <w:pPr>
        <w:widowControl w:val="0"/>
        <w:spacing w:after="0"/>
        <w:jc w:val="both"/>
        <w:rPr>
          <w:rFonts w:ascii="Times New Roman" w:eastAsia="Times New Roman" w:hAnsi="Times New Roman"/>
          <w:sz w:val="20"/>
          <w:lang w:eastAsia="it-IT"/>
        </w:rPr>
      </w:pPr>
      <w:r w:rsidRPr="009848BD">
        <w:rPr>
          <w:rFonts w:ascii="Times New Roman" w:eastAsia="Times New Roman" w:hAnsi="Times New Roman"/>
          <w:sz w:val="20"/>
          <w:lang w:eastAsia="it-IT"/>
        </w:rPr>
        <w:t>Lo sviluppo e l’applicazione delle misure previste nel presente Piano saranno quindi il risultato di un’azione sinergica del RPCT, coadiuvato dal “Gruppo di lavoro permanente per il PTPCT” e dall’Internal Audit, con i singoli Responsabili ed i Coordinatori secondo un processo di ricognizione in sede di formulazione degli aggiornamenti e di monitoraggio della fase di applicazione.</w:t>
      </w:r>
    </w:p>
    <w:p w14:paraId="025DCFB1" w14:textId="77777777" w:rsidR="00603F3F" w:rsidRPr="003D1740" w:rsidRDefault="00603F3F" w:rsidP="00603F3F">
      <w:pPr>
        <w:pStyle w:val="Default"/>
        <w:widowControl w:val="0"/>
        <w:spacing w:line="276" w:lineRule="auto"/>
        <w:jc w:val="both"/>
        <w:rPr>
          <w:rFonts w:ascii="Times New Roman" w:hAnsi="Times New Roman" w:cs="Times New Roman"/>
          <w:b/>
          <w:sz w:val="20"/>
          <w:szCs w:val="20"/>
        </w:rPr>
      </w:pPr>
      <w:r w:rsidRPr="003D1740">
        <w:rPr>
          <w:rFonts w:ascii="Times New Roman" w:hAnsi="Times New Roman" w:cs="Times New Roman"/>
          <w:b/>
          <w:sz w:val="20"/>
          <w:szCs w:val="20"/>
        </w:rPr>
        <w:t xml:space="preserve">Le suddette attività </w:t>
      </w:r>
      <w:r>
        <w:rPr>
          <w:rFonts w:ascii="Times New Roman" w:hAnsi="Times New Roman" w:cs="Times New Roman"/>
          <w:b/>
          <w:sz w:val="20"/>
          <w:szCs w:val="20"/>
        </w:rPr>
        <w:t>c</w:t>
      </w:r>
      <w:r w:rsidRPr="003D1740">
        <w:rPr>
          <w:rFonts w:ascii="Times New Roman" w:hAnsi="Times New Roman"/>
          <w:b/>
          <w:sz w:val="20"/>
          <w:szCs w:val="20"/>
        </w:rPr>
        <w:t>ostituiscono</w:t>
      </w:r>
      <w:r>
        <w:rPr>
          <w:rFonts w:ascii="Times New Roman" w:hAnsi="Times New Roman"/>
          <w:b/>
          <w:sz w:val="20"/>
          <w:szCs w:val="20"/>
        </w:rPr>
        <w:t>, per i soggetti di cui al presente paragrafo,</w:t>
      </w:r>
      <w:r w:rsidRPr="003D1740">
        <w:rPr>
          <w:rFonts w:ascii="Times New Roman" w:hAnsi="Times New Roman"/>
          <w:b/>
          <w:sz w:val="20"/>
          <w:szCs w:val="20"/>
        </w:rPr>
        <w:t xml:space="preserve"> parte integrante degli obiettivi a cui è subordinata la corresponsione del premio di risultato</w:t>
      </w:r>
      <w:r>
        <w:rPr>
          <w:rFonts w:ascii="Times New Roman" w:hAnsi="Times New Roman" w:cs="Times New Roman"/>
          <w:b/>
          <w:sz w:val="20"/>
          <w:szCs w:val="20"/>
        </w:rPr>
        <w:t>.</w:t>
      </w:r>
    </w:p>
    <w:p w14:paraId="63F5607D"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5783752D" w14:textId="77777777" w:rsidR="00603F3F" w:rsidRPr="002B2E05" w:rsidRDefault="00603F3F" w:rsidP="00603F3F">
      <w:pPr>
        <w:pStyle w:val="Titolo4"/>
        <w:keepNext w:val="0"/>
        <w:widowControl w:val="0"/>
        <w:rPr>
          <w:b/>
        </w:rPr>
      </w:pPr>
      <w:bookmarkStart w:id="498" w:name="_Toc454796214"/>
      <w:bookmarkStart w:id="499" w:name="_Toc454796276"/>
      <w:bookmarkStart w:id="500" w:name="_Toc473547401"/>
      <w:bookmarkStart w:id="501" w:name="_Toc535854437"/>
      <w:r w:rsidRPr="002B2E05">
        <w:rPr>
          <w:b/>
        </w:rPr>
        <w:t xml:space="preserve">1.3.5. </w:t>
      </w:r>
      <w:r w:rsidRPr="002B2E05">
        <w:rPr>
          <w:b/>
        </w:rPr>
        <w:tab/>
        <w:t>I dipendenti</w:t>
      </w:r>
      <w:bookmarkEnd w:id="498"/>
      <w:bookmarkEnd w:id="499"/>
      <w:bookmarkEnd w:id="500"/>
      <w:bookmarkEnd w:id="501"/>
      <w:r w:rsidRPr="002B2E05">
        <w:rPr>
          <w:b/>
        </w:rPr>
        <w:t xml:space="preserve"> </w:t>
      </w:r>
    </w:p>
    <w:p w14:paraId="6933210D" w14:textId="77777777" w:rsidR="00603F3F" w:rsidRPr="00CD7FBE" w:rsidRDefault="00603F3F" w:rsidP="00603F3F">
      <w:pPr>
        <w:widowControl w:val="0"/>
        <w:spacing w:after="0"/>
        <w:jc w:val="both"/>
        <w:rPr>
          <w:rFonts w:ascii="Times New Roman" w:eastAsia="Times New Roman" w:hAnsi="Times New Roman"/>
          <w:sz w:val="20"/>
          <w:lang w:eastAsia="it-IT"/>
        </w:rPr>
      </w:pPr>
      <w:r w:rsidRPr="00CD7FBE">
        <w:rPr>
          <w:rFonts w:ascii="Times New Roman" w:eastAsia="Times New Roman" w:hAnsi="Times New Roman"/>
          <w:sz w:val="20"/>
          <w:lang w:eastAsia="it-IT"/>
        </w:rPr>
        <w:t>Tutti i dipendenti partecipano al processo di gestione del rischio, osservano le misure contenute nel Piano, segnalano le situazioni di illecito al superiore gerarchico nonché casi di personale conflitto di interesse.</w:t>
      </w:r>
    </w:p>
    <w:p w14:paraId="6987EA87"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1E3D3215" w14:textId="0607F3EF" w:rsidR="00603F3F"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Eventuali violazioni alle prescrizioni del presente Piano da parte dei dipendenti della </w:t>
      </w:r>
      <w:r>
        <w:rPr>
          <w:rFonts w:ascii="Times New Roman" w:hAnsi="Times New Roman" w:cs="Times New Roman"/>
          <w:sz w:val="20"/>
          <w:szCs w:val="20"/>
        </w:rPr>
        <w:t>società</w:t>
      </w:r>
      <w:r w:rsidRPr="00CD7FBE">
        <w:rPr>
          <w:rFonts w:ascii="Times New Roman" w:hAnsi="Times New Roman" w:cs="Times New Roman"/>
          <w:sz w:val="20"/>
          <w:szCs w:val="20"/>
        </w:rPr>
        <w:t xml:space="preserve"> costituiscono illecito disciplinare, ai sensi dell'art. 1, comma 14, della legge 190/2012.</w:t>
      </w:r>
    </w:p>
    <w:p w14:paraId="2CB71ED4" w14:textId="77777777" w:rsidR="00603F3F" w:rsidRDefault="00603F3F" w:rsidP="00603F3F">
      <w:pPr>
        <w:pStyle w:val="Default"/>
        <w:widowControl w:val="0"/>
        <w:spacing w:line="276" w:lineRule="auto"/>
        <w:rPr>
          <w:rFonts w:ascii="Times New Roman" w:hAnsi="Times New Roman"/>
          <w:sz w:val="20"/>
          <w:szCs w:val="20"/>
        </w:rPr>
      </w:pPr>
      <w:bookmarkStart w:id="502" w:name="_Toc410231332"/>
      <w:bookmarkStart w:id="503" w:name="_Toc410231649"/>
      <w:bookmarkStart w:id="504" w:name="_Toc410232833"/>
      <w:bookmarkStart w:id="505" w:name="_Toc418505924"/>
      <w:bookmarkStart w:id="506" w:name="_Toc454796217"/>
      <w:bookmarkStart w:id="507" w:name="_Toc454796279"/>
    </w:p>
    <w:p w14:paraId="48BAF79E" w14:textId="77777777" w:rsidR="00603F3F" w:rsidRPr="002B2E05" w:rsidRDefault="00603F3F" w:rsidP="00603F3F">
      <w:pPr>
        <w:pStyle w:val="Titolo2"/>
        <w:keepNext w:val="0"/>
        <w:spacing w:line="276" w:lineRule="auto"/>
        <w:ind w:left="426" w:hanging="426"/>
        <w:rPr>
          <w:color w:val="0070C0"/>
        </w:rPr>
      </w:pPr>
      <w:bookmarkStart w:id="508" w:name="_Toc535854438"/>
      <w:r w:rsidRPr="002B2E05">
        <w:rPr>
          <w:color w:val="0070C0"/>
        </w:rPr>
        <w:t>La elencazione dei reati</w:t>
      </w:r>
      <w:bookmarkEnd w:id="502"/>
      <w:bookmarkEnd w:id="503"/>
      <w:bookmarkEnd w:id="504"/>
      <w:bookmarkEnd w:id="505"/>
      <w:bookmarkEnd w:id="506"/>
      <w:bookmarkEnd w:id="507"/>
      <w:bookmarkEnd w:id="508"/>
    </w:p>
    <w:p w14:paraId="7A6968C2" w14:textId="264BB9E2"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L’analisi del fenomeno corruttivo negli ultimi anni, nel nostro Paese, ha determinato la necessità di avviare un’energica politica di prevenzione, adeguamento e rafforzamento dei mezzi di repressione che siano coerenti con il mutato contesto sociale e criminale.</w:t>
      </w:r>
      <w:r>
        <w:rPr>
          <w:rFonts w:ascii="Times New Roman" w:hAnsi="Times New Roman"/>
          <w:sz w:val="20"/>
          <w:szCs w:val="20"/>
        </w:rPr>
        <w:t xml:space="preserve"> </w:t>
      </w:r>
      <w:r w:rsidRPr="00CD7FBE">
        <w:rPr>
          <w:rFonts w:ascii="Times New Roman" w:hAnsi="Times New Roman"/>
          <w:sz w:val="20"/>
          <w:szCs w:val="20"/>
        </w:rPr>
        <w:t>Il fenomeno, infatti, si manifesta non più in forma episodica e occasionale, ma quale realtà sistemica e di larga diffusione</w:t>
      </w:r>
      <w:r w:rsidRPr="00CD7FBE">
        <w:rPr>
          <w:rStyle w:val="Rimandonotadichiusura"/>
          <w:rFonts w:ascii="Times New Roman" w:hAnsi="Times New Roman"/>
          <w:sz w:val="20"/>
          <w:szCs w:val="20"/>
        </w:rPr>
        <w:endnoteReference w:id="40"/>
      </w:r>
      <w:r w:rsidRPr="00CD7FBE">
        <w:rPr>
          <w:rFonts w:ascii="Times New Roman" w:hAnsi="Times New Roman"/>
          <w:sz w:val="20"/>
          <w:szCs w:val="20"/>
        </w:rPr>
        <w:t xml:space="preserve">. </w:t>
      </w:r>
      <w:r>
        <w:rPr>
          <w:rFonts w:ascii="Times New Roman" w:hAnsi="Times New Roman"/>
          <w:sz w:val="20"/>
          <w:szCs w:val="20"/>
        </w:rPr>
        <w:t xml:space="preserve"> </w:t>
      </w:r>
      <w:r w:rsidRPr="00CD7FBE">
        <w:rPr>
          <w:rFonts w:ascii="Times New Roman" w:hAnsi="Times New Roman"/>
          <w:sz w:val="20"/>
          <w:szCs w:val="20"/>
        </w:rPr>
        <w:t xml:space="preserve">Inoltre, si registra un’evoluzione dell’atto corruttivo </w:t>
      </w:r>
      <w:r w:rsidRPr="00CD7FBE">
        <w:rPr>
          <w:rFonts w:ascii="Times New Roman" w:hAnsi="Times New Roman"/>
          <w:iCs/>
          <w:sz w:val="20"/>
          <w:szCs w:val="20"/>
        </w:rPr>
        <w:t>di tipo qualitativo</w:t>
      </w:r>
      <w:r w:rsidRPr="00CD7FBE">
        <w:rPr>
          <w:rFonts w:ascii="Times New Roman" w:hAnsi="Times New Roman"/>
          <w:sz w:val="20"/>
          <w:szCs w:val="20"/>
        </w:rPr>
        <w:t xml:space="preserve">, essendo cambiati, rispetto al passato, i soggetti del patto corruttivo e il contenuto del </w:t>
      </w:r>
      <w:r w:rsidRPr="00CD7FBE">
        <w:rPr>
          <w:rFonts w:ascii="Times New Roman" w:hAnsi="Times New Roman"/>
          <w:i/>
          <w:iCs/>
          <w:sz w:val="20"/>
          <w:szCs w:val="20"/>
        </w:rPr>
        <w:t>pactum sceleris</w:t>
      </w:r>
      <w:r w:rsidRPr="00CD7FBE">
        <w:rPr>
          <w:rFonts w:ascii="Times New Roman" w:hAnsi="Times New Roman"/>
          <w:sz w:val="20"/>
          <w:szCs w:val="20"/>
        </w:rPr>
        <w:t xml:space="preserve">. Con riferimento ai </w:t>
      </w:r>
      <w:r w:rsidRPr="00CD7FBE">
        <w:rPr>
          <w:rFonts w:ascii="Times New Roman" w:hAnsi="Times New Roman"/>
          <w:iCs/>
          <w:sz w:val="20"/>
          <w:szCs w:val="20"/>
        </w:rPr>
        <w:t>soggetti</w:t>
      </w:r>
      <w:r w:rsidRPr="00CD7FBE">
        <w:rPr>
          <w:rFonts w:ascii="Times New Roman" w:hAnsi="Times New Roman"/>
          <w:sz w:val="20"/>
          <w:szCs w:val="20"/>
        </w:rPr>
        <w:t xml:space="preserve">, la corruzione si presenta di frequente come fattispecie a carattere non più solo duale, connotandosi per il coinvolgimento di soggetti ulteriori, destinati a svolgere funzioni di </w:t>
      </w:r>
      <w:r w:rsidRPr="00CD7FBE">
        <w:rPr>
          <w:rFonts w:ascii="Times New Roman" w:hAnsi="Times New Roman"/>
          <w:iCs/>
          <w:sz w:val="20"/>
          <w:szCs w:val="20"/>
        </w:rPr>
        <w:t>intermediazione e di filtro</w:t>
      </w:r>
      <w:r w:rsidRPr="00CD7FBE">
        <w:rPr>
          <w:rFonts w:ascii="Times New Roman" w:hAnsi="Times New Roman"/>
          <w:sz w:val="20"/>
          <w:szCs w:val="20"/>
        </w:rPr>
        <w:t xml:space="preserve">. Quanto al </w:t>
      </w:r>
      <w:r w:rsidRPr="00CD7FBE">
        <w:rPr>
          <w:rFonts w:ascii="Times New Roman" w:hAnsi="Times New Roman"/>
          <w:iCs/>
          <w:sz w:val="20"/>
          <w:szCs w:val="20"/>
        </w:rPr>
        <w:t>contenuto</w:t>
      </w:r>
      <w:r w:rsidRPr="00CD7FBE">
        <w:rPr>
          <w:rFonts w:ascii="Times New Roman" w:hAnsi="Times New Roman"/>
          <w:i/>
          <w:iCs/>
          <w:sz w:val="20"/>
          <w:szCs w:val="20"/>
        </w:rPr>
        <w:t xml:space="preserve"> </w:t>
      </w:r>
      <w:r w:rsidRPr="00CD7FBE">
        <w:rPr>
          <w:rFonts w:ascii="Times New Roman" w:hAnsi="Times New Roman"/>
          <w:sz w:val="20"/>
          <w:szCs w:val="20"/>
        </w:rPr>
        <w:t>del patto corruttivo, si evidenzia come il pubblico agente corrotto si impegna non già ad adottare un atto del proprio ufficio, quanto piuttosto a far valere il suo peso istituzionale su un altro pubblico agente, competente all’emanazione dell’atto cui è interessato il corruttore, esercitando un’attività di influenza.</w:t>
      </w:r>
      <w:r>
        <w:rPr>
          <w:rFonts w:ascii="Times New Roman" w:hAnsi="Times New Roman"/>
          <w:sz w:val="20"/>
          <w:szCs w:val="20"/>
        </w:rPr>
        <w:t xml:space="preserve"> </w:t>
      </w:r>
      <w:r w:rsidRPr="00CD7FBE">
        <w:rPr>
          <w:rFonts w:ascii="Times New Roman" w:hAnsi="Times New Roman"/>
          <w:sz w:val="20"/>
          <w:szCs w:val="20"/>
          <w:lang w:eastAsia="it-IT"/>
        </w:rPr>
        <w:t>Le nuove caratteristiche assunte dal fenomeno hanno determinato l’elaborazione di una politica di contrasto di tipo integrato che passa attraverso:</w:t>
      </w:r>
    </w:p>
    <w:p w14:paraId="38E4D62F" w14:textId="77777777" w:rsidR="00603F3F" w:rsidRPr="0047360A" w:rsidRDefault="00603F3F" w:rsidP="00603F3F">
      <w:pPr>
        <w:widowControl w:val="0"/>
        <w:spacing w:after="0"/>
        <w:ind w:left="284" w:hanging="284"/>
        <w:jc w:val="both"/>
        <w:rPr>
          <w:rFonts w:ascii="Times New Roman" w:hAnsi="Times New Roman"/>
          <w:i/>
          <w:sz w:val="20"/>
          <w:szCs w:val="20"/>
        </w:rPr>
      </w:pPr>
      <w:r w:rsidRPr="00CD7FBE">
        <w:rPr>
          <w:rFonts w:ascii="Times New Roman" w:eastAsia="SymbolMT" w:hAnsi="Times New Roman"/>
          <w:sz w:val="20"/>
          <w:szCs w:val="20"/>
          <w:lang w:eastAsia="it-IT"/>
        </w:rPr>
        <w:t>-</w:t>
      </w:r>
      <w:r w:rsidRPr="00CD7FBE">
        <w:rPr>
          <w:rFonts w:ascii="Times New Roman" w:hAnsi="Times New Roman"/>
          <w:sz w:val="20"/>
          <w:szCs w:val="20"/>
          <w:lang w:eastAsia="it-IT"/>
        </w:rPr>
        <w:tab/>
      </w:r>
      <w:r w:rsidRPr="0047360A">
        <w:rPr>
          <w:rFonts w:ascii="Times New Roman" w:hAnsi="Times New Roman"/>
          <w:i/>
          <w:sz w:val="20"/>
          <w:szCs w:val="20"/>
          <w:lang w:eastAsia="it-IT"/>
        </w:rPr>
        <w:t xml:space="preserve">il </w:t>
      </w:r>
      <w:r w:rsidRPr="0047360A">
        <w:rPr>
          <w:rFonts w:ascii="Times New Roman" w:hAnsi="Times New Roman"/>
          <w:i/>
          <w:iCs/>
          <w:sz w:val="20"/>
          <w:szCs w:val="20"/>
          <w:lang w:eastAsia="it-IT"/>
        </w:rPr>
        <w:t>rafforzamento dei rimedi di tipo repressivo</w:t>
      </w:r>
      <w:r w:rsidRPr="0047360A">
        <w:rPr>
          <w:rFonts w:ascii="Times New Roman" w:hAnsi="Times New Roman"/>
          <w:bCs/>
          <w:i/>
          <w:sz w:val="20"/>
          <w:szCs w:val="20"/>
          <w:lang w:eastAsia="it-IT"/>
        </w:rPr>
        <w:t>;</w:t>
      </w:r>
    </w:p>
    <w:p w14:paraId="3DF99EB8" w14:textId="77777777" w:rsidR="00603F3F" w:rsidRPr="0047360A" w:rsidRDefault="00603F3F" w:rsidP="00603F3F">
      <w:pPr>
        <w:widowControl w:val="0"/>
        <w:spacing w:after="0"/>
        <w:ind w:left="284" w:hanging="284"/>
        <w:jc w:val="both"/>
        <w:rPr>
          <w:rFonts w:ascii="Times New Roman" w:hAnsi="Times New Roman"/>
          <w:i/>
          <w:sz w:val="20"/>
          <w:szCs w:val="20"/>
        </w:rPr>
      </w:pPr>
      <w:r w:rsidRPr="0047360A">
        <w:rPr>
          <w:rFonts w:ascii="Times New Roman" w:eastAsia="SymbolMT" w:hAnsi="Times New Roman"/>
          <w:i/>
          <w:sz w:val="20"/>
          <w:szCs w:val="20"/>
          <w:lang w:eastAsia="it-IT"/>
        </w:rPr>
        <w:t>-</w:t>
      </w:r>
      <w:r w:rsidRPr="0047360A">
        <w:rPr>
          <w:rFonts w:ascii="Times New Roman" w:eastAsia="SymbolMT" w:hAnsi="Times New Roman"/>
          <w:i/>
          <w:sz w:val="20"/>
          <w:szCs w:val="20"/>
          <w:lang w:eastAsia="it-IT"/>
        </w:rPr>
        <w:tab/>
      </w:r>
      <w:r w:rsidRPr="0047360A">
        <w:rPr>
          <w:rFonts w:ascii="Times New Roman" w:hAnsi="Times New Roman"/>
          <w:i/>
          <w:sz w:val="20"/>
          <w:szCs w:val="20"/>
          <w:lang w:eastAsia="it-IT"/>
        </w:rPr>
        <w:t xml:space="preserve">l’introduzione nell’ordinamento (o il potenziamento laddove già esistenti) di </w:t>
      </w:r>
      <w:r w:rsidRPr="0047360A">
        <w:rPr>
          <w:rFonts w:ascii="Times New Roman" w:hAnsi="Times New Roman"/>
          <w:i/>
          <w:iCs/>
          <w:sz w:val="20"/>
          <w:szCs w:val="20"/>
          <w:lang w:eastAsia="it-IT"/>
        </w:rPr>
        <w:t xml:space="preserve">strumenti di prevenzione </w:t>
      </w:r>
      <w:r w:rsidRPr="0047360A">
        <w:rPr>
          <w:rFonts w:ascii="Times New Roman" w:hAnsi="Times New Roman"/>
          <w:i/>
          <w:sz w:val="20"/>
          <w:szCs w:val="20"/>
          <w:lang w:eastAsia="it-IT"/>
        </w:rPr>
        <w:t>volti ad incidere in modo razionale, organico e determinato sulle occasioni della corruzione e sui fattori che ne favoriscono la diffusione;</w:t>
      </w:r>
    </w:p>
    <w:p w14:paraId="2C4AC3EC"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eastAsia="SymbolMT" w:hAnsi="Times New Roman"/>
          <w:i/>
          <w:sz w:val="20"/>
          <w:szCs w:val="20"/>
          <w:lang w:eastAsia="it-IT"/>
        </w:rPr>
        <w:t>-</w:t>
      </w:r>
      <w:r w:rsidRPr="0047360A">
        <w:rPr>
          <w:rFonts w:ascii="Times New Roman" w:eastAsia="SymbolMT" w:hAnsi="Times New Roman"/>
          <w:i/>
          <w:sz w:val="20"/>
          <w:szCs w:val="20"/>
          <w:lang w:eastAsia="it-IT"/>
        </w:rPr>
        <w:tab/>
      </w:r>
      <w:r w:rsidRPr="0047360A">
        <w:rPr>
          <w:rFonts w:ascii="Times New Roman" w:hAnsi="Times New Roman"/>
          <w:i/>
          <w:sz w:val="20"/>
          <w:szCs w:val="20"/>
          <w:lang w:eastAsia="it-IT"/>
        </w:rPr>
        <w:t xml:space="preserve">la promozione di una </w:t>
      </w:r>
      <w:r w:rsidRPr="0047360A">
        <w:rPr>
          <w:rFonts w:ascii="Times New Roman" w:hAnsi="Times New Roman"/>
          <w:i/>
          <w:iCs/>
          <w:sz w:val="20"/>
          <w:szCs w:val="20"/>
          <w:lang w:eastAsia="it-IT"/>
        </w:rPr>
        <w:t>diffusa cultura della legalità e del rispetto delle regole</w:t>
      </w:r>
      <w:r w:rsidRPr="0047360A">
        <w:rPr>
          <w:rFonts w:ascii="Times New Roman" w:hAnsi="Times New Roman"/>
          <w:i/>
          <w:sz w:val="20"/>
          <w:szCs w:val="20"/>
          <w:lang w:eastAsia="it-IT"/>
        </w:rPr>
        <w:t>.</w:t>
      </w:r>
    </w:p>
    <w:p w14:paraId="4B4B0EB9"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lang w:eastAsia="it-IT"/>
        </w:rPr>
      </w:pPr>
    </w:p>
    <w:p w14:paraId="78BF5912" w14:textId="1CD6D357"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r w:rsidRPr="00CD7FBE">
        <w:rPr>
          <w:rFonts w:ascii="Times New Roman" w:hAnsi="Times New Roman"/>
          <w:sz w:val="20"/>
          <w:szCs w:val="20"/>
          <w:lang w:eastAsia="it-IT"/>
        </w:rPr>
        <w:t>Sui tre piani di azione sopra indicati è intervenuta la citata Legge 190/2012, che, se certo non può dirsi risolutiva per la lotta alla corruzione, rappresenta un passo in avanti rispetto ai gravi ritardi del passato</w:t>
      </w:r>
      <w:r w:rsidRPr="00CD7FBE">
        <w:rPr>
          <w:rStyle w:val="Rimandonotadichiusura"/>
          <w:rFonts w:ascii="Times New Roman" w:hAnsi="Times New Roman"/>
          <w:sz w:val="20"/>
          <w:szCs w:val="20"/>
          <w:lang w:eastAsia="it-IT"/>
        </w:rPr>
        <w:endnoteReference w:id="41"/>
      </w:r>
      <w:r w:rsidRPr="00CD7FBE">
        <w:rPr>
          <w:rFonts w:ascii="Times New Roman" w:hAnsi="Times New Roman"/>
          <w:sz w:val="20"/>
          <w:szCs w:val="20"/>
          <w:lang w:eastAsia="it-IT"/>
        </w:rPr>
        <w:t xml:space="preserve">. La predetta legge introduce una serie di </w:t>
      </w:r>
      <w:r w:rsidRPr="00CD7FBE">
        <w:rPr>
          <w:rFonts w:ascii="Times New Roman" w:hAnsi="Times New Roman"/>
          <w:i/>
          <w:sz w:val="20"/>
          <w:szCs w:val="20"/>
          <w:lang w:eastAsia="it-IT"/>
        </w:rPr>
        <w:t>barriere interne</w:t>
      </w:r>
      <w:r w:rsidRPr="00CD7FBE">
        <w:rPr>
          <w:rFonts w:ascii="Times New Roman" w:hAnsi="Times New Roman"/>
          <w:sz w:val="20"/>
          <w:szCs w:val="20"/>
          <w:lang w:eastAsia="it-IT"/>
        </w:rPr>
        <w:t xml:space="preserve"> all’Amministrazione volte ad arginare il fenomeno corruttivo e, in particolare, prevede:</w:t>
      </w:r>
    </w:p>
    <w:p w14:paraId="5FC8FCE0"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r>
      <w:r w:rsidRPr="0047360A">
        <w:rPr>
          <w:rFonts w:ascii="Times New Roman" w:hAnsi="Times New Roman"/>
          <w:i/>
          <w:sz w:val="20"/>
          <w:szCs w:val="20"/>
          <w:lang w:eastAsia="it-IT"/>
        </w:rPr>
        <w:t xml:space="preserve">l’obbligatoria adozione, da parte di ciascuna Amministrazione, dei </w:t>
      </w:r>
      <w:r w:rsidRPr="0047360A">
        <w:rPr>
          <w:rFonts w:ascii="Times New Roman" w:hAnsi="Times New Roman"/>
          <w:i/>
          <w:iCs/>
          <w:sz w:val="20"/>
          <w:szCs w:val="20"/>
          <w:lang w:eastAsia="it-IT"/>
        </w:rPr>
        <w:t xml:space="preserve">piani di prevenzione </w:t>
      </w:r>
      <w:r w:rsidRPr="0047360A">
        <w:rPr>
          <w:rFonts w:ascii="Times New Roman" w:hAnsi="Times New Roman"/>
          <w:i/>
          <w:sz w:val="20"/>
          <w:szCs w:val="20"/>
          <w:lang w:eastAsia="it-IT"/>
        </w:rPr>
        <w:t xml:space="preserve">del fenomeno corruttivo, ispirati a modelli di </w:t>
      </w:r>
      <w:r w:rsidRPr="0047360A">
        <w:rPr>
          <w:rFonts w:ascii="Times New Roman" w:hAnsi="Times New Roman"/>
          <w:i/>
          <w:iCs/>
          <w:sz w:val="20"/>
          <w:szCs w:val="20"/>
          <w:lang w:eastAsia="it-IT"/>
        </w:rPr>
        <w:t>risk management</w:t>
      </w:r>
      <w:r w:rsidRPr="0047360A">
        <w:rPr>
          <w:rFonts w:ascii="Times New Roman" w:hAnsi="Times New Roman"/>
          <w:i/>
          <w:sz w:val="20"/>
          <w:szCs w:val="20"/>
          <w:lang w:eastAsia="it-IT"/>
        </w:rPr>
        <w:t xml:space="preserve">, di cui la legge si preoccupa di fissare il contenuto minimo (es. rotazione degli incarichi dirigenziali nelle aree a rischio); </w:t>
      </w:r>
    </w:p>
    <w:p w14:paraId="3C9A0899"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la delega al Governo per la disciplina dei casi di </w:t>
      </w:r>
      <w:r w:rsidRPr="0047360A">
        <w:rPr>
          <w:rFonts w:ascii="Times New Roman" w:hAnsi="Times New Roman"/>
          <w:i/>
          <w:iCs/>
          <w:sz w:val="20"/>
          <w:szCs w:val="20"/>
          <w:lang w:eastAsia="it-IT"/>
        </w:rPr>
        <w:t xml:space="preserve">non conferibilità e di incompatibilità degli incarichi dirigenziali </w:t>
      </w:r>
      <w:r w:rsidRPr="0047360A">
        <w:rPr>
          <w:rFonts w:ascii="Times New Roman" w:hAnsi="Times New Roman"/>
          <w:i/>
          <w:sz w:val="20"/>
          <w:szCs w:val="20"/>
          <w:lang w:eastAsia="it-IT"/>
        </w:rPr>
        <w:t>in presenza di situazioni di conflitti di interesse o di sentenze di condanna anche non passate in giudicato per reati contro la P.A. (esercitata con D. Lgs. n. 39/2013);</w:t>
      </w:r>
    </w:p>
    <w:p w14:paraId="7C48ACA5"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la delega al Governo per l’adozione di un testo unico delle disposizioni in materia di </w:t>
      </w:r>
      <w:r w:rsidRPr="0047360A">
        <w:rPr>
          <w:rFonts w:ascii="Times New Roman" w:hAnsi="Times New Roman"/>
          <w:i/>
          <w:iCs/>
          <w:sz w:val="20"/>
          <w:szCs w:val="20"/>
          <w:lang w:eastAsia="it-IT"/>
        </w:rPr>
        <w:t xml:space="preserve">incandidabilità e di divieto di ricoprire cariche elettive e di governo </w:t>
      </w:r>
      <w:r w:rsidRPr="0047360A">
        <w:rPr>
          <w:rFonts w:ascii="Times New Roman" w:hAnsi="Times New Roman"/>
          <w:i/>
          <w:sz w:val="20"/>
          <w:szCs w:val="20"/>
          <w:lang w:eastAsia="it-IT"/>
        </w:rPr>
        <w:t>(esercitata con D. Lgs. 31 dicembre 2012, n. 235);</w:t>
      </w:r>
    </w:p>
    <w:p w14:paraId="0B1438B2"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il rafforzamento del </w:t>
      </w:r>
      <w:r w:rsidRPr="0047360A">
        <w:rPr>
          <w:rFonts w:ascii="Times New Roman" w:hAnsi="Times New Roman"/>
          <w:i/>
          <w:iCs/>
          <w:sz w:val="20"/>
          <w:szCs w:val="20"/>
          <w:lang w:eastAsia="it-IT"/>
        </w:rPr>
        <w:t>codice di comportamento dei dipendenti pubblici</w:t>
      </w:r>
      <w:r w:rsidRPr="0047360A">
        <w:rPr>
          <w:rFonts w:ascii="Times New Roman" w:hAnsi="Times New Roman"/>
          <w:i/>
          <w:sz w:val="20"/>
          <w:szCs w:val="20"/>
          <w:lang w:eastAsia="it-IT"/>
        </w:rPr>
        <w:t>, con la sanzionabilità della relativa violazione in termini di responsabilità disciplinare;</w:t>
      </w:r>
    </w:p>
    <w:p w14:paraId="21CFB6CB"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47360A">
        <w:rPr>
          <w:rFonts w:ascii="Times New Roman" w:hAnsi="Times New Roman"/>
          <w:i/>
          <w:sz w:val="20"/>
          <w:szCs w:val="20"/>
          <w:lang w:eastAsia="it-IT"/>
        </w:rPr>
        <w:t>-</w:t>
      </w:r>
      <w:r w:rsidRPr="0047360A">
        <w:rPr>
          <w:rFonts w:ascii="Times New Roman" w:hAnsi="Times New Roman"/>
          <w:i/>
          <w:sz w:val="20"/>
          <w:szCs w:val="20"/>
          <w:lang w:eastAsia="it-IT"/>
        </w:rPr>
        <w:tab/>
        <w:t xml:space="preserve">la fissazione di </w:t>
      </w:r>
      <w:r w:rsidRPr="0047360A">
        <w:rPr>
          <w:rFonts w:ascii="Times New Roman" w:hAnsi="Times New Roman"/>
          <w:i/>
          <w:iCs/>
          <w:sz w:val="20"/>
          <w:szCs w:val="20"/>
          <w:lang w:eastAsia="it-IT"/>
        </w:rPr>
        <w:t>elevati livelli di trasparenza</w:t>
      </w:r>
      <w:r w:rsidRPr="0047360A">
        <w:rPr>
          <w:rFonts w:ascii="Times New Roman" w:hAnsi="Times New Roman"/>
          <w:i/>
          <w:sz w:val="20"/>
          <w:szCs w:val="20"/>
          <w:lang w:eastAsia="it-IT"/>
        </w:rPr>
        <w:t>, con delega al Governo per il riordino della disciplina riguardante gli obblighi di pubblicità e diffusione di informazioni da parte delle pubbliche amministrazioni (esercitata con il D. Lgs. n. 33/2013);</w:t>
      </w:r>
    </w:p>
    <w:p w14:paraId="38A45114" w14:textId="77777777" w:rsidR="00603F3F" w:rsidRPr="0047360A"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r>
      <w:r w:rsidRPr="0047360A">
        <w:rPr>
          <w:rFonts w:ascii="Times New Roman" w:hAnsi="Times New Roman"/>
          <w:i/>
          <w:sz w:val="20"/>
          <w:szCs w:val="20"/>
          <w:lang w:eastAsia="it-IT"/>
        </w:rPr>
        <w:t xml:space="preserve">la </w:t>
      </w:r>
      <w:r w:rsidRPr="0047360A">
        <w:rPr>
          <w:rFonts w:ascii="Times New Roman" w:hAnsi="Times New Roman"/>
          <w:i/>
          <w:iCs/>
          <w:sz w:val="20"/>
          <w:szCs w:val="20"/>
          <w:lang w:eastAsia="it-IT"/>
        </w:rPr>
        <w:t xml:space="preserve">tutela del cd. Whistleblower, </w:t>
      </w:r>
      <w:r w:rsidRPr="0047360A">
        <w:rPr>
          <w:rFonts w:ascii="Times New Roman" w:hAnsi="Times New Roman"/>
          <w:i/>
          <w:sz w:val="20"/>
          <w:szCs w:val="20"/>
          <w:lang w:eastAsia="it-IT"/>
        </w:rPr>
        <w:t>con la previsione del divieto di comminare sanzioni di tipo discriminatorio, in qualche modo correlate alla denuncia di condotte illecite, di cui il pubblico dipendente sia venuto a conoscenza in ragione del rapporto di lavoro.</w:t>
      </w:r>
    </w:p>
    <w:p w14:paraId="12C7431C" w14:textId="77777777"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p>
    <w:p w14:paraId="6B2B2A04" w14:textId="2B168F4A"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sz w:val="20"/>
          <w:szCs w:val="20"/>
          <w:lang w:eastAsia="it-IT"/>
        </w:rPr>
        <w:t xml:space="preserve">In questo quadro normativo l’A.N.AC. ha varato il Piano Nazionale Anticorruzione, quale primo livello nazionale di misure anticorruzione; al secondo livello decentrato ogni P.A. definisce il proprio PTPCT con l’analisi e la valutazione dei rischi specifici di corruzione ed individuazione degli interventi organizzativi volti a prevenirli. </w:t>
      </w:r>
      <w:r w:rsidRPr="00CD7FBE">
        <w:rPr>
          <w:rFonts w:ascii="Times New Roman" w:hAnsi="Times New Roman"/>
          <w:color w:val="000000"/>
          <w:sz w:val="20"/>
          <w:szCs w:val="20"/>
          <w:lang w:eastAsia="it-IT"/>
        </w:rPr>
        <w:t xml:space="preserve">In tale contesto, il </w:t>
      </w:r>
      <w:r>
        <w:rPr>
          <w:rFonts w:ascii="Times New Roman" w:hAnsi="Times New Roman"/>
          <w:color w:val="000000"/>
          <w:sz w:val="20"/>
          <w:szCs w:val="20"/>
          <w:lang w:eastAsia="it-IT"/>
        </w:rPr>
        <w:t xml:space="preserve">presente </w:t>
      </w:r>
      <w:r w:rsidRPr="00CD7FBE">
        <w:rPr>
          <w:rFonts w:ascii="Times New Roman" w:hAnsi="Times New Roman"/>
          <w:color w:val="000000"/>
          <w:sz w:val="20"/>
          <w:szCs w:val="20"/>
          <w:lang w:eastAsia="it-IT"/>
        </w:rPr>
        <w:t xml:space="preserve">PTPCT costituisce il principale strumento adottato per favorire il contrasto della corruzione e promuovere la legalità dell'azione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allo scopo di prevenire le situazioni che possono provocarne un malfunzionamento. </w:t>
      </w:r>
    </w:p>
    <w:p w14:paraId="71F7CC71"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A6B07F5"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Il PTPCT è stato redatto per favorire la prevenzione di una pluralità di reati</w:t>
      </w:r>
      <w:r>
        <w:rPr>
          <w:rFonts w:ascii="Times New Roman" w:hAnsi="Times New Roman"/>
          <w:color w:val="000000"/>
          <w:sz w:val="20"/>
          <w:szCs w:val="20"/>
          <w:lang w:eastAsia="it-IT"/>
        </w:rPr>
        <w:t xml:space="preserve"> e fenomeni di </w:t>
      </w:r>
      <w:r w:rsidRPr="00974CED">
        <w:rPr>
          <w:rFonts w:ascii="Times New Roman" w:hAnsi="Times New Roman"/>
          <w:i/>
          <w:color w:val="000000"/>
          <w:sz w:val="20"/>
          <w:szCs w:val="20"/>
          <w:lang w:eastAsia="it-IT"/>
        </w:rPr>
        <w:t>maladministration</w:t>
      </w:r>
      <w:r w:rsidRPr="00CD7FBE">
        <w:rPr>
          <w:rFonts w:ascii="Times New Roman" w:hAnsi="Times New Roman"/>
          <w:color w:val="000000"/>
          <w:sz w:val="20"/>
          <w:szCs w:val="20"/>
          <w:lang w:eastAsia="it-IT"/>
        </w:rPr>
        <w:t xml:space="preserve">. </w:t>
      </w:r>
    </w:p>
    <w:p w14:paraId="1ACADCD7" w14:textId="030976B2"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Nel corso dell'analisi dei rischi si è fatto riferimento ad un’accezione ampia di corruzione, prendendo in considerazione i reati contro la Pubblica Ammini</w:t>
      </w:r>
      <w:r w:rsidRPr="00CD7FBE">
        <w:rPr>
          <w:rFonts w:ascii="Times New Roman" w:hAnsi="Times New Roman"/>
          <w:sz w:val="20"/>
          <w:szCs w:val="20"/>
          <w:lang w:eastAsia="it-IT"/>
        </w:rPr>
        <w:t>strazio</w:t>
      </w:r>
      <w:r w:rsidRPr="00CD7FBE">
        <w:rPr>
          <w:rFonts w:ascii="Times New Roman" w:hAnsi="Times New Roman"/>
          <w:color w:val="000000"/>
          <w:sz w:val="20"/>
          <w:szCs w:val="20"/>
          <w:lang w:eastAsia="it-IT"/>
        </w:rPr>
        <w:t>ne disciplinati nel Titolo II, Capo I, del codice penale e, più in generale, tutte quelle situazioni in cui, a prescindere dalla rilevanza penale, potrebbe emergere un malfunzionamento d</w:t>
      </w:r>
      <w:r>
        <w:rPr>
          <w:rFonts w:ascii="Times New Roman" w:hAnsi="Times New Roman"/>
          <w:color w:val="000000"/>
          <w:sz w:val="20"/>
          <w:szCs w:val="20"/>
          <w:lang w:eastAsia="it-IT"/>
        </w:rPr>
        <w:t>ella società</w:t>
      </w:r>
      <w:r w:rsidRPr="00CD7FBE">
        <w:rPr>
          <w:rFonts w:ascii="Times New Roman" w:hAnsi="Times New Roman"/>
          <w:color w:val="000000"/>
          <w:sz w:val="20"/>
          <w:szCs w:val="20"/>
          <w:lang w:eastAsia="it-IT"/>
        </w:rPr>
        <w:t xml:space="preserve"> a causa dell’uso a fini privati delle funzioni attribuite, ovvero l’inquinamento dell’azione amministrativa </w:t>
      </w:r>
      <w:r w:rsidRPr="00CD7FBE">
        <w:rPr>
          <w:rFonts w:ascii="Times New Roman" w:hAnsi="Times New Roman"/>
          <w:i/>
          <w:iCs/>
          <w:color w:val="000000"/>
          <w:sz w:val="20"/>
          <w:szCs w:val="20"/>
          <w:lang w:eastAsia="it-IT"/>
        </w:rPr>
        <w:t>ab externo</w:t>
      </w:r>
      <w:r w:rsidRPr="00CD7FBE">
        <w:rPr>
          <w:rFonts w:ascii="Times New Roman" w:hAnsi="Times New Roman"/>
          <w:color w:val="000000"/>
          <w:sz w:val="20"/>
          <w:szCs w:val="20"/>
          <w:lang w:eastAsia="it-IT"/>
        </w:rPr>
        <w:t>, sia che tale azione abbia successo sia nel caso in cui rimanga a livello di tentativo. Sebbene nel corso dell'analisi del rischio siano stati considerati tutti i delitti contro la Pubblica Amministrazione, date le attività svolte da</w:t>
      </w:r>
      <w:r>
        <w:rPr>
          <w:rFonts w:ascii="Times New Roman" w:hAnsi="Times New Roman"/>
          <w:color w:val="000000"/>
          <w:sz w:val="20"/>
          <w:szCs w:val="20"/>
          <w:lang w:eastAsia="it-IT"/>
        </w:rPr>
        <w:t>lla società</w:t>
      </w:r>
      <w:r w:rsidRPr="00CD7FBE">
        <w:rPr>
          <w:rFonts w:ascii="Times New Roman" w:hAnsi="Times New Roman"/>
          <w:color w:val="000000"/>
          <w:sz w:val="20"/>
          <w:szCs w:val="20"/>
          <w:lang w:eastAsia="it-IT"/>
        </w:rPr>
        <w:t xml:space="preserve">, in fase di elaborazione dello strumento, l'attenzione si è focalizzata in particolare sulle tipologie di reato evidenziate nella </w:t>
      </w:r>
      <w:r w:rsidRPr="00531BD0">
        <w:rPr>
          <w:rFonts w:ascii="Times New Roman" w:hAnsi="Times New Roman"/>
          <w:b/>
          <w:color w:val="000000"/>
          <w:sz w:val="20"/>
          <w:szCs w:val="20"/>
          <w:lang w:eastAsia="it-IT"/>
        </w:rPr>
        <w:t>Figura 1.</w:t>
      </w:r>
      <w:r w:rsidRPr="00CD7FBE">
        <w:rPr>
          <w:rFonts w:ascii="Times New Roman" w:hAnsi="Times New Roman"/>
          <w:color w:val="000000"/>
          <w:sz w:val="20"/>
          <w:szCs w:val="20"/>
          <w:lang w:eastAsia="it-IT"/>
        </w:rPr>
        <w:t xml:space="preserve"> </w:t>
      </w:r>
    </w:p>
    <w:p w14:paraId="3ECD8956" w14:textId="43342B6E" w:rsidR="00603F3F" w:rsidRDefault="00603F3F" w:rsidP="00603F3F">
      <w:pPr>
        <w:widowControl w:val="0"/>
        <w:spacing w:after="0"/>
        <w:jc w:val="center"/>
        <w:rPr>
          <w:rFonts w:ascii="Times New Roman" w:hAnsi="Times New Roman"/>
          <w:b/>
          <w:color w:val="000000"/>
          <w:sz w:val="20"/>
          <w:szCs w:val="20"/>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69"/>
        <w:gridCol w:w="1786"/>
        <w:gridCol w:w="705"/>
        <w:gridCol w:w="2867"/>
      </w:tblGrid>
      <w:tr w:rsidR="00603F3F" w:rsidRPr="00CD7FBE" w14:paraId="7E1C7CE4" w14:textId="77777777" w:rsidTr="008F7032">
        <w:trPr>
          <w:trHeight w:val="231"/>
        </w:trPr>
        <w:tc>
          <w:tcPr>
            <w:tcW w:w="2802" w:type="dxa"/>
            <w:vMerge w:val="restart"/>
            <w:tcBorders>
              <w:top w:val="single" w:sz="4" w:space="0" w:color="auto"/>
              <w:right w:val="single" w:sz="4" w:space="0" w:color="auto"/>
            </w:tcBorders>
            <w:shd w:val="clear" w:color="auto" w:fill="92D050"/>
            <w:vAlign w:val="center"/>
          </w:tcPr>
          <w:p w14:paraId="1AF47F2C"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Corruzione per l'esercizio della funzione (art. 318 c.p.)</w:t>
            </w:r>
          </w:p>
        </w:tc>
        <w:tc>
          <w:tcPr>
            <w:tcW w:w="769" w:type="dxa"/>
            <w:tcBorders>
              <w:top w:val="nil"/>
              <w:left w:val="single" w:sz="4" w:space="0" w:color="auto"/>
              <w:bottom w:val="nil"/>
              <w:right w:val="nil"/>
            </w:tcBorders>
            <w:shd w:val="clear" w:color="auto" w:fill="auto"/>
            <w:vAlign w:val="center"/>
          </w:tcPr>
          <w:p w14:paraId="30BF69F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bottom w:val="nil"/>
              <w:right w:val="nil"/>
            </w:tcBorders>
            <w:shd w:val="clear" w:color="auto" w:fill="auto"/>
            <w:vAlign w:val="center"/>
          </w:tcPr>
          <w:p w14:paraId="3A50FE4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nil"/>
              <w:right w:val="nil"/>
            </w:tcBorders>
            <w:shd w:val="clear" w:color="auto" w:fill="auto"/>
            <w:vAlign w:val="center"/>
          </w:tcPr>
          <w:p w14:paraId="50389415"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bottom w:val="nil"/>
              <w:right w:val="nil"/>
            </w:tcBorders>
            <w:shd w:val="clear" w:color="auto" w:fill="92D050"/>
            <w:vAlign w:val="center"/>
          </w:tcPr>
          <w:p w14:paraId="2595C7BE"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Corruzione di persona incaricata di un pubblico servizio (art. 320 c.p.)</w:t>
            </w:r>
          </w:p>
        </w:tc>
      </w:tr>
      <w:tr w:rsidR="00603F3F" w:rsidRPr="00CD7FBE" w14:paraId="5E4D4D8C" w14:textId="77777777" w:rsidTr="008F7032">
        <w:trPr>
          <w:trHeight w:val="230"/>
        </w:trPr>
        <w:tc>
          <w:tcPr>
            <w:tcW w:w="2802" w:type="dxa"/>
            <w:vMerge/>
            <w:tcBorders>
              <w:bottom w:val="single" w:sz="4" w:space="0" w:color="auto"/>
              <w:right w:val="single" w:sz="4" w:space="0" w:color="auto"/>
            </w:tcBorders>
            <w:shd w:val="clear" w:color="auto" w:fill="92D050"/>
            <w:vAlign w:val="center"/>
          </w:tcPr>
          <w:p w14:paraId="25F031DD"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left w:val="single" w:sz="4" w:space="0" w:color="auto"/>
              <w:bottom w:val="single" w:sz="4" w:space="0" w:color="auto"/>
              <w:right w:val="nil"/>
              <w:tl2br w:val="single" w:sz="4" w:space="0" w:color="auto"/>
              <w:tr2bl w:val="nil"/>
            </w:tcBorders>
            <w:shd w:val="clear" w:color="auto" w:fill="auto"/>
            <w:vAlign w:val="center"/>
          </w:tcPr>
          <w:p w14:paraId="0AB5A8A8"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top w:val="nil"/>
              <w:left w:val="nil"/>
              <w:bottom w:val="nil"/>
              <w:right w:val="nil"/>
              <w:tl2br w:val="nil"/>
              <w:tr2bl w:val="nil"/>
            </w:tcBorders>
            <w:shd w:val="clear" w:color="auto" w:fill="auto"/>
            <w:vAlign w:val="center"/>
          </w:tcPr>
          <w:p w14:paraId="7613DF70"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single" w:sz="4" w:space="0" w:color="auto"/>
              <w:right w:val="nil"/>
              <w:tl2br w:val="nil"/>
              <w:tr2bl w:val="single" w:sz="4" w:space="0" w:color="auto"/>
            </w:tcBorders>
            <w:shd w:val="clear" w:color="auto" w:fill="auto"/>
            <w:vAlign w:val="center"/>
          </w:tcPr>
          <w:p w14:paraId="736FC48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right w:val="nil"/>
            </w:tcBorders>
            <w:shd w:val="clear" w:color="auto" w:fill="92D050"/>
            <w:vAlign w:val="center"/>
          </w:tcPr>
          <w:p w14:paraId="21D40840"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1022C7C6" w14:textId="77777777" w:rsidTr="008F7032">
        <w:trPr>
          <w:trHeight w:val="170"/>
        </w:trPr>
        <w:tc>
          <w:tcPr>
            <w:tcW w:w="8929" w:type="dxa"/>
            <w:gridSpan w:val="5"/>
            <w:tcBorders>
              <w:top w:val="nil"/>
              <w:left w:val="nil"/>
              <w:bottom w:val="nil"/>
              <w:right w:val="nil"/>
            </w:tcBorders>
            <w:shd w:val="clear" w:color="auto" w:fill="auto"/>
            <w:vAlign w:val="center"/>
          </w:tcPr>
          <w:p w14:paraId="56A4ECF1"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19F7F707" w14:textId="77777777" w:rsidTr="008F7032">
        <w:trPr>
          <w:trHeight w:val="231"/>
        </w:trPr>
        <w:tc>
          <w:tcPr>
            <w:tcW w:w="2802" w:type="dxa"/>
            <w:vMerge w:val="restart"/>
            <w:tcBorders>
              <w:top w:val="nil"/>
              <w:right w:val="nil"/>
            </w:tcBorders>
            <w:shd w:val="clear" w:color="auto" w:fill="92D050"/>
            <w:vAlign w:val="center"/>
          </w:tcPr>
          <w:p w14:paraId="2156B1D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Corruzione per un atto contrario ai doveri d'ufficio (art. 319 c.p.)</w:t>
            </w:r>
          </w:p>
        </w:tc>
        <w:tc>
          <w:tcPr>
            <w:tcW w:w="769" w:type="dxa"/>
            <w:tcBorders>
              <w:top w:val="nil"/>
              <w:left w:val="nil"/>
              <w:bottom w:val="nil"/>
              <w:right w:val="nil"/>
            </w:tcBorders>
            <w:shd w:val="clear" w:color="auto" w:fill="auto"/>
            <w:vAlign w:val="center"/>
          </w:tcPr>
          <w:p w14:paraId="15F0BCA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bottom w:val="nil"/>
              <w:right w:val="nil"/>
            </w:tcBorders>
            <w:shd w:val="clear" w:color="auto" w:fill="auto"/>
            <w:vAlign w:val="center"/>
          </w:tcPr>
          <w:p w14:paraId="4F8213B5"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nil"/>
              <w:right w:val="nil"/>
            </w:tcBorders>
            <w:shd w:val="clear" w:color="auto" w:fill="auto"/>
            <w:vAlign w:val="center"/>
          </w:tcPr>
          <w:p w14:paraId="4C3AD3B4"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tcBorders>
            <w:shd w:val="clear" w:color="auto" w:fill="92D050"/>
            <w:vAlign w:val="center"/>
          </w:tcPr>
          <w:p w14:paraId="07D88F2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r w:rsidRPr="00CD7FBE">
              <w:rPr>
                <w:rFonts w:ascii="Times New Roman" w:hAnsi="Times New Roman"/>
                <w:color w:val="000000"/>
                <w:sz w:val="16"/>
                <w:szCs w:val="16"/>
                <w:lang w:eastAsia="it-IT"/>
              </w:rPr>
              <w:t>Indebita induzione a dare o promettere utilità (art. 319-quater c.p.)</w:t>
            </w:r>
          </w:p>
        </w:tc>
      </w:tr>
      <w:tr w:rsidR="00603F3F" w:rsidRPr="00CD7FBE" w14:paraId="2AFFDECB" w14:textId="77777777" w:rsidTr="008F7032">
        <w:trPr>
          <w:trHeight w:val="230"/>
        </w:trPr>
        <w:tc>
          <w:tcPr>
            <w:tcW w:w="2802" w:type="dxa"/>
            <w:vMerge/>
            <w:tcBorders>
              <w:bottom w:val="nil"/>
              <w:right w:val="nil"/>
            </w:tcBorders>
            <w:shd w:val="clear" w:color="auto" w:fill="92D050"/>
            <w:vAlign w:val="center"/>
          </w:tcPr>
          <w:p w14:paraId="58CC7BB1"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left w:val="nil"/>
              <w:bottom w:val="single" w:sz="4" w:space="0" w:color="auto"/>
              <w:right w:val="nil"/>
              <w:tl2br w:val="single" w:sz="4" w:space="0" w:color="auto"/>
              <w:tr2bl w:val="nil"/>
            </w:tcBorders>
            <w:shd w:val="clear" w:color="auto" w:fill="auto"/>
            <w:vAlign w:val="center"/>
          </w:tcPr>
          <w:p w14:paraId="37B21F5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top w:val="nil"/>
              <w:left w:val="nil"/>
              <w:bottom w:val="nil"/>
              <w:right w:val="nil"/>
              <w:tl2br w:val="nil"/>
              <w:tr2bl w:val="nil"/>
            </w:tcBorders>
            <w:shd w:val="clear" w:color="auto" w:fill="auto"/>
            <w:vAlign w:val="center"/>
          </w:tcPr>
          <w:p w14:paraId="47688DD1"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705" w:type="dxa"/>
            <w:tcBorders>
              <w:top w:val="nil"/>
              <w:left w:val="nil"/>
              <w:bottom w:val="single" w:sz="4" w:space="0" w:color="auto"/>
              <w:right w:val="nil"/>
              <w:tl2br w:val="nil"/>
              <w:tr2bl w:val="single" w:sz="4" w:space="0" w:color="auto"/>
            </w:tcBorders>
            <w:shd w:val="clear" w:color="auto" w:fill="auto"/>
            <w:vAlign w:val="center"/>
          </w:tcPr>
          <w:p w14:paraId="11155C8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tcBorders>
            <w:shd w:val="clear" w:color="auto" w:fill="92D050"/>
            <w:vAlign w:val="center"/>
          </w:tcPr>
          <w:p w14:paraId="7B8B5319"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62FEDE99" w14:textId="77777777" w:rsidTr="008F7032">
        <w:trPr>
          <w:trHeight w:val="170"/>
        </w:trPr>
        <w:tc>
          <w:tcPr>
            <w:tcW w:w="3571" w:type="dxa"/>
            <w:gridSpan w:val="2"/>
            <w:tcBorders>
              <w:top w:val="nil"/>
              <w:left w:val="nil"/>
              <w:bottom w:val="nil"/>
              <w:right w:val="nil"/>
            </w:tcBorders>
            <w:shd w:val="clear" w:color="auto" w:fill="auto"/>
            <w:vAlign w:val="center"/>
          </w:tcPr>
          <w:p w14:paraId="3512DD3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left w:val="nil"/>
              <w:right w:val="nil"/>
            </w:tcBorders>
            <w:shd w:val="clear" w:color="auto" w:fill="FFC000"/>
            <w:vAlign w:val="center"/>
          </w:tcPr>
          <w:p w14:paraId="2FBCC3FF" w14:textId="77777777" w:rsidR="00603F3F" w:rsidRPr="00CD7FBE" w:rsidRDefault="00603F3F" w:rsidP="00603F3F">
            <w:pPr>
              <w:widowControl w:val="0"/>
              <w:spacing w:after="0"/>
              <w:jc w:val="center"/>
              <w:rPr>
                <w:rFonts w:ascii="Times New Roman" w:hAnsi="Times New Roman"/>
                <w:b/>
                <w:color w:val="000000"/>
                <w:sz w:val="20"/>
                <w:szCs w:val="20"/>
                <w:lang w:eastAsia="it-IT"/>
              </w:rPr>
            </w:pPr>
            <w:r w:rsidRPr="00CD7FBE">
              <w:rPr>
                <w:rFonts w:ascii="Times New Roman" w:hAnsi="Times New Roman"/>
                <w:sz w:val="16"/>
                <w:szCs w:val="16"/>
              </w:rPr>
              <w:t>PRINCIPALI TIPOLOGIE DI REATO</w:t>
            </w:r>
          </w:p>
        </w:tc>
        <w:tc>
          <w:tcPr>
            <w:tcW w:w="3572" w:type="dxa"/>
            <w:gridSpan w:val="2"/>
            <w:tcBorders>
              <w:top w:val="nil"/>
              <w:left w:val="nil"/>
              <w:bottom w:val="nil"/>
              <w:right w:val="nil"/>
            </w:tcBorders>
            <w:shd w:val="clear" w:color="auto" w:fill="auto"/>
            <w:vAlign w:val="center"/>
          </w:tcPr>
          <w:p w14:paraId="77B7D8A3"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255511A4" w14:textId="77777777" w:rsidTr="008F7032">
        <w:trPr>
          <w:trHeight w:val="231"/>
        </w:trPr>
        <w:tc>
          <w:tcPr>
            <w:tcW w:w="2802" w:type="dxa"/>
            <w:vMerge w:val="restart"/>
            <w:tcBorders>
              <w:top w:val="nil"/>
              <w:right w:val="nil"/>
            </w:tcBorders>
            <w:shd w:val="clear" w:color="auto" w:fill="92D050"/>
            <w:vAlign w:val="center"/>
          </w:tcPr>
          <w:p w14:paraId="66AE774F"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Peculato mediante profitto dell'errore altrui (art. 316 c.p.)</w:t>
            </w:r>
          </w:p>
        </w:tc>
        <w:tc>
          <w:tcPr>
            <w:tcW w:w="769" w:type="dxa"/>
            <w:tcBorders>
              <w:top w:val="nil"/>
              <w:left w:val="nil"/>
              <w:bottom w:val="nil"/>
              <w:right w:val="nil"/>
            </w:tcBorders>
            <w:shd w:val="clear" w:color="auto" w:fill="auto"/>
            <w:vAlign w:val="center"/>
          </w:tcPr>
          <w:p w14:paraId="4E2408D6"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right w:val="nil"/>
            </w:tcBorders>
            <w:shd w:val="clear" w:color="auto" w:fill="FFC000"/>
            <w:vAlign w:val="center"/>
          </w:tcPr>
          <w:p w14:paraId="5773CC3D" w14:textId="77777777" w:rsidR="00603F3F" w:rsidRPr="00CD7FBE" w:rsidRDefault="00603F3F" w:rsidP="00603F3F">
            <w:pPr>
              <w:widowControl w:val="0"/>
              <w:spacing w:after="0"/>
              <w:jc w:val="center"/>
              <w:rPr>
                <w:rFonts w:ascii="Times New Roman" w:hAnsi="Times New Roman"/>
                <w:b/>
                <w:color w:val="000000"/>
                <w:sz w:val="20"/>
                <w:szCs w:val="20"/>
                <w:lang w:eastAsia="it-IT"/>
              </w:rPr>
            </w:pPr>
          </w:p>
        </w:tc>
        <w:tc>
          <w:tcPr>
            <w:tcW w:w="705" w:type="dxa"/>
            <w:tcBorders>
              <w:top w:val="nil"/>
              <w:left w:val="nil"/>
              <w:bottom w:val="nil"/>
              <w:right w:val="nil"/>
            </w:tcBorders>
            <w:shd w:val="clear" w:color="auto" w:fill="auto"/>
            <w:vAlign w:val="center"/>
          </w:tcPr>
          <w:p w14:paraId="106F197A"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left w:val="nil"/>
            </w:tcBorders>
            <w:shd w:val="clear" w:color="auto" w:fill="92D050"/>
            <w:vAlign w:val="center"/>
          </w:tcPr>
          <w:p w14:paraId="11312495"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Istigazione alla corruzione (art. 322 c.p.)</w:t>
            </w:r>
          </w:p>
        </w:tc>
      </w:tr>
      <w:tr w:rsidR="00603F3F" w:rsidRPr="00CD7FBE" w14:paraId="614FD5D6" w14:textId="77777777" w:rsidTr="008F7032">
        <w:trPr>
          <w:trHeight w:val="230"/>
        </w:trPr>
        <w:tc>
          <w:tcPr>
            <w:tcW w:w="2802" w:type="dxa"/>
            <w:vMerge/>
            <w:tcBorders>
              <w:bottom w:val="nil"/>
              <w:right w:val="nil"/>
            </w:tcBorders>
            <w:shd w:val="clear" w:color="auto" w:fill="92D050"/>
            <w:vAlign w:val="center"/>
          </w:tcPr>
          <w:p w14:paraId="4B928C2E"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left w:val="nil"/>
              <w:bottom w:val="single" w:sz="4" w:space="0" w:color="auto"/>
              <w:right w:val="nil"/>
              <w:tl2br w:val="single" w:sz="4" w:space="0" w:color="auto"/>
            </w:tcBorders>
            <w:shd w:val="clear" w:color="auto" w:fill="auto"/>
            <w:vAlign w:val="center"/>
          </w:tcPr>
          <w:p w14:paraId="5018A51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top w:val="nil"/>
              <w:left w:val="nil"/>
              <w:right w:val="nil"/>
            </w:tcBorders>
            <w:shd w:val="clear" w:color="auto" w:fill="FFC000"/>
            <w:vAlign w:val="center"/>
          </w:tcPr>
          <w:p w14:paraId="5C8332A8" w14:textId="77777777" w:rsidR="00603F3F" w:rsidRPr="00CD7FBE" w:rsidRDefault="00603F3F" w:rsidP="00603F3F">
            <w:pPr>
              <w:widowControl w:val="0"/>
              <w:spacing w:after="0"/>
              <w:jc w:val="center"/>
              <w:rPr>
                <w:rFonts w:ascii="Times New Roman" w:hAnsi="Times New Roman"/>
                <w:b/>
                <w:color w:val="000000"/>
                <w:sz w:val="20"/>
                <w:szCs w:val="20"/>
                <w:lang w:eastAsia="it-IT"/>
              </w:rPr>
            </w:pPr>
          </w:p>
        </w:tc>
        <w:tc>
          <w:tcPr>
            <w:tcW w:w="705" w:type="dxa"/>
            <w:tcBorders>
              <w:top w:val="nil"/>
              <w:left w:val="nil"/>
              <w:bottom w:val="single" w:sz="4" w:space="0" w:color="auto"/>
              <w:right w:val="nil"/>
              <w:tr2bl w:val="single" w:sz="4" w:space="0" w:color="auto"/>
            </w:tcBorders>
            <w:shd w:val="clear" w:color="auto" w:fill="auto"/>
            <w:vAlign w:val="center"/>
          </w:tcPr>
          <w:p w14:paraId="303B512A"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tcBorders>
            <w:shd w:val="clear" w:color="auto" w:fill="92D050"/>
            <w:vAlign w:val="center"/>
          </w:tcPr>
          <w:p w14:paraId="6EA594F1"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25B4F56D" w14:textId="77777777" w:rsidTr="008F7032">
        <w:trPr>
          <w:trHeight w:val="170"/>
        </w:trPr>
        <w:tc>
          <w:tcPr>
            <w:tcW w:w="2802" w:type="dxa"/>
            <w:tcBorders>
              <w:top w:val="nil"/>
              <w:left w:val="nil"/>
              <w:bottom w:val="nil"/>
              <w:right w:val="nil"/>
            </w:tcBorders>
            <w:shd w:val="clear" w:color="auto" w:fill="auto"/>
            <w:vAlign w:val="center"/>
          </w:tcPr>
          <w:p w14:paraId="4ECB6F59"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single" w:sz="4" w:space="0" w:color="auto"/>
              <w:left w:val="nil"/>
              <w:bottom w:val="nil"/>
              <w:right w:val="nil"/>
            </w:tcBorders>
            <w:shd w:val="clear" w:color="auto" w:fill="auto"/>
            <w:vAlign w:val="center"/>
          </w:tcPr>
          <w:p w14:paraId="6D7B85C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bottom w:val="nil"/>
              <w:right w:val="nil"/>
            </w:tcBorders>
            <w:shd w:val="clear" w:color="auto" w:fill="FFC000"/>
            <w:vAlign w:val="center"/>
          </w:tcPr>
          <w:p w14:paraId="36C89C21"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single" w:sz="4" w:space="0" w:color="auto"/>
              <w:left w:val="nil"/>
              <w:bottom w:val="nil"/>
              <w:right w:val="nil"/>
            </w:tcBorders>
            <w:shd w:val="clear" w:color="auto" w:fill="auto"/>
            <w:vAlign w:val="center"/>
          </w:tcPr>
          <w:p w14:paraId="491A80A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tcBorders>
              <w:top w:val="nil"/>
              <w:left w:val="nil"/>
              <w:bottom w:val="nil"/>
              <w:right w:val="nil"/>
            </w:tcBorders>
            <w:shd w:val="clear" w:color="auto" w:fill="auto"/>
            <w:vAlign w:val="center"/>
          </w:tcPr>
          <w:p w14:paraId="18C7026E"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r>
      <w:tr w:rsidR="00603F3F" w:rsidRPr="00CD7FBE" w14:paraId="4C50ECE5" w14:textId="77777777" w:rsidTr="008F7032">
        <w:trPr>
          <w:trHeight w:val="231"/>
        </w:trPr>
        <w:tc>
          <w:tcPr>
            <w:tcW w:w="2802" w:type="dxa"/>
            <w:vMerge w:val="restart"/>
            <w:tcBorders>
              <w:top w:val="nil"/>
            </w:tcBorders>
            <w:shd w:val="clear" w:color="auto" w:fill="92D050"/>
            <w:vAlign w:val="center"/>
          </w:tcPr>
          <w:p w14:paraId="2A382AAB"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Rifiuto di atti d'ufficio. Omissione (art. 328 c.p.)</w:t>
            </w:r>
          </w:p>
        </w:tc>
        <w:tc>
          <w:tcPr>
            <w:tcW w:w="769" w:type="dxa"/>
            <w:tcBorders>
              <w:top w:val="nil"/>
              <w:bottom w:val="nil"/>
              <w:right w:val="nil"/>
            </w:tcBorders>
            <w:shd w:val="clear" w:color="auto" w:fill="auto"/>
            <w:vAlign w:val="center"/>
          </w:tcPr>
          <w:p w14:paraId="47C9B451"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right w:val="nil"/>
            </w:tcBorders>
            <w:shd w:val="clear" w:color="auto" w:fill="auto"/>
            <w:vAlign w:val="center"/>
          </w:tcPr>
          <w:p w14:paraId="20176B3C"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nil"/>
              <w:right w:val="nil"/>
            </w:tcBorders>
            <w:shd w:val="clear" w:color="auto" w:fill="auto"/>
            <w:vAlign w:val="center"/>
          </w:tcPr>
          <w:p w14:paraId="3D798E2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tcBorders>
            <w:shd w:val="clear" w:color="auto" w:fill="92D050"/>
            <w:vAlign w:val="center"/>
          </w:tcPr>
          <w:p w14:paraId="7B5022B8"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val="en-US" w:eastAsia="it-IT"/>
              </w:rPr>
              <w:t>Concussione (art. 317 c.p.)</w:t>
            </w:r>
          </w:p>
        </w:tc>
      </w:tr>
      <w:tr w:rsidR="00603F3F" w:rsidRPr="00CD7FBE" w14:paraId="69CCB103" w14:textId="77777777" w:rsidTr="008F7032">
        <w:trPr>
          <w:trHeight w:val="230"/>
        </w:trPr>
        <w:tc>
          <w:tcPr>
            <w:tcW w:w="2802" w:type="dxa"/>
            <w:vMerge/>
            <w:tcBorders>
              <w:bottom w:val="nil"/>
            </w:tcBorders>
            <w:shd w:val="clear" w:color="auto" w:fill="92D050"/>
            <w:vAlign w:val="center"/>
          </w:tcPr>
          <w:p w14:paraId="579CF75D"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bottom w:val="single" w:sz="4" w:space="0" w:color="auto"/>
              <w:right w:val="nil"/>
              <w:tl2br w:val="single" w:sz="4" w:space="0" w:color="auto"/>
            </w:tcBorders>
            <w:shd w:val="clear" w:color="auto" w:fill="auto"/>
            <w:vAlign w:val="center"/>
          </w:tcPr>
          <w:p w14:paraId="3BCA9363"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bottom w:val="nil"/>
              <w:right w:val="nil"/>
            </w:tcBorders>
            <w:shd w:val="clear" w:color="auto" w:fill="auto"/>
            <w:vAlign w:val="center"/>
          </w:tcPr>
          <w:p w14:paraId="65850651"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single" w:sz="4" w:space="0" w:color="auto"/>
              <w:right w:val="nil"/>
              <w:tr2bl w:val="single" w:sz="4" w:space="0" w:color="auto"/>
            </w:tcBorders>
            <w:shd w:val="clear" w:color="auto" w:fill="auto"/>
            <w:vAlign w:val="center"/>
          </w:tcPr>
          <w:p w14:paraId="3B504AF6"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left w:val="nil"/>
              <w:bottom w:val="nil"/>
            </w:tcBorders>
            <w:shd w:val="clear" w:color="auto" w:fill="92D050"/>
            <w:vAlign w:val="center"/>
          </w:tcPr>
          <w:p w14:paraId="12588AAC"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p>
        </w:tc>
      </w:tr>
      <w:tr w:rsidR="00603F3F" w:rsidRPr="00CD7FBE" w14:paraId="6EB96ED1" w14:textId="77777777" w:rsidTr="008F7032">
        <w:trPr>
          <w:trHeight w:val="170"/>
        </w:trPr>
        <w:tc>
          <w:tcPr>
            <w:tcW w:w="2802" w:type="dxa"/>
            <w:tcBorders>
              <w:top w:val="nil"/>
              <w:left w:val="nil"/>
              <w:bottom w:val="nil"/>
              <w:right w:val="nil"/>
            </w:tcBorders>
            <w:shd w:val="clear" w:color="auto" w:fill="auto"/>
            <w:vAlign w:val="center"/>
          </w:tcPr>
          <w:p w14:paraId="6CAFB9B2"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single" w:sz="4" w:space="0" w:color="auto"/>
              <w:left w:val="nil"/>
              <w:bottom w:val="nil"/>
              <w:right w:val="nil"/>
            </w:tcBorders>
            <w:shd w:val="clear" w:color="auto" w:fill="auto"/>
            <w:vAlign w:val="center"/>
          </w:tcPr>
          <w:p w14:paraId="2C73DA4D"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tcBorders>
              <w:top w:val="nil"/>
              <w:left w:val="nil"/>
              <w:bottom w:val="nil"/>
              <w:right w:val="nil"/>
            </w:tcBorders>
            <w:shd w:val="clear" w:color="auto" w:fill="auto"/>
            <w:vAlign w:val="center"/>
          </w:tcPr>
          <w:p w14:paraId="738A8087"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single" w:sz="4" w:space="0" w:color="auto"/>
              <w:left w:val="nil"/>
              <w:bottom w:val="nil"/>
              <w:right w:val="nil"/>
            </w:tcBorders>
            <w:shd w:val="clear" w:color="auto" w:fill="auto"/>
            <w:vAlign w:val="center"/>
          </w:tcPr>
          <w:p w14:paraId="2371C2F7"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tcBorders>
              <w:top w:val="nil"/>
              <w:left w:val="nil"/>
              <w:bottom w:val="nil"/>
              <w:right w:val="nil"/>
            </w:tcBorders>
            <w:shd w:val="clear" w:color="auto" w:fill="auto"/>
            <w:vAlign w:val="center"/>
          </w:tcPr>
          <w:p w14:paraId="5E514463"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p>
        </w:tc>
      </w:tr>
      <w:tr w:rsidR="00603F3F" w:rsidRPr="00CD7FBE" w14:paraId="52965570" w14:textId="77777777" w:rsidTr="008F7032">
        <w:trPr>
          <w:trHeight w:val="231"/>
        </w:trPr>
        <w:tc>
          <w:tcPr>
            <w:tcW w:w="2802" w:type="dxa"/>
            <w:vMerge w:val="restart"/>
            <w:tcBorders>
              <w:top w:val="nil"/>
            </w:tcBorders>
            <w:shd w:val="clear" w:color="auto" w:fill="92D050"/>
            <w:vAlign w:val="center"/>
          </w:tcPr>
          <w:p w14:paraId="5ADD347F"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r w:rsidRPr="00CD7FBE">
              <w:rPr>
                <w:rFonts w:ascii="Times New Roman" w:hAnsi="Times New Roman"/>
                <w:color w:val="000000"/>
                <w:sz w:val="16"/>
                <w:szCs w:val="16"/>
                <w:lang w:eastAsia="it-IT"/>
              </w:rPr>
              <w:t>Abuso d'ufficio (art. 323 c.p.)</w:t>
            </w:r>
          </w:p>
        </w:tc>
        <w:tc>
          <w:tcPr>
            <w:tcW w:w="769" w:type="dxa"/>
            <w:tcBorders>
              <w:top w:val="nil"/>
              <w:bottom w:val="nil"/>
              <w:right w:val="nil"/>
            </w:tcBorders>
            <w:shd w:val="clear" w:color="auto" w:fill="auto"/>
            <w:vAlign w:val="center"/>
          </w:tcPr>
          <w:p w14:paraId="7333CD9E"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val="restart"/>
            <w:tcBorders>
              <w:top w:val="nil"/>
              <w:left w:val="nil"/>
              <w:right w:val="nil"/>
            </w:tcBorders>
            <w:shd w:val="clear" w:color="auto" w:fill="auto"/>
            <w:vAlign w:val="center"/>
          </w:tcPr>
          <w:p w14:paraId="25640C4E"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nil"/>
              <w:right w:val="nil"/>
            </w:tcBorders>
            <w:shd w:val="clear" w:color="auto" w:fill="auto"/>
            <w:vAlign w:val="center"/>
          </w:tcPr>
          <w:p w14:paraId="0A38C104"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val="restart"/>
            <w:tcBorders>
              <w:top w:val="nil"/>
              <w:left w:val="nil"/>
            </w:tcBorders>
            <w:shd w:val="clear" w:color="auto" w:fill="92D050"/>
            <w:vAlign w:val="center"/>
          </w:tcPr>
          <w:p w14:paraId="3E515E2A"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r w:rsidRPr="00CD7FBE">
              <w:rPr>
                <w:rFonts w:ascii="Times New Roman" w:hAnsi="Times New Roman"/>
                <w:color w:val="000000"/>
                <w:sz w:val="16"/>
                <w:szCs w:val="16"/>
                <w:lang w:val="en-US" w:eastAsia="it-IT"/>
              </w:rPr>
              <w:t>Peculato (art. 314 c.p.)</w:t>
            </w:r>
          </w:p>
        </w:tc>
      </w:tr>
      <w:tr w:rsidR="00603F3F" w:rsidRPr="00CD7FBE" w14:paraId="25FD9335" w14:textId="77777777" w:rsidTr="008F7032">
        <w:trPr>
          <w:trHeight w:val="230"/>
        </w:trPr>
        <w:tc>
          <w:tcPr>
            <w:tcW w:w="2802" w:type="dxa"/>
            <w:vMerge/>
            <w:tcBorders>
              <w:bottom w:val="nil"/>
            </w:tcBorders>
            <w:shd w:val="clear" w:color="auto" w:fill="92D050"/>
            <w:vAlign w:val="center"/>
          </w:tcPr>
          <w:p w14:paraId="6C587DE8"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eastAsia="it-IT"/>
              </w:rPr>
            </w:pPr>
          </w:p>
        </w:tc>
        <w:tc>
          <w:tcPr>
            <w:tcW w:w="769" w:type="dxa"/>
            <w:tcBorders>
              <w:top w:val="nil"/>
              <w:bottom w:val="single" w:sz="4" w:space="0" w:color="auto"/>
              <w:right w:val="nil"/>
              <w:tl2br w:val="single" w:sz="4" w:space="0" w:color="auto"/>
            </w:tcBorders>
            <w:shd w:val="clear" w:color="auto" w:fill="auto"/>
            <w:vAlign w:val="center"/>
          </w:tcPr>
          <w:p w14:paraId="19E30D6B"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1786" w:type="dxa"/>
            <w:vMerge/>
            <w:tcBorders>
              <w:left w:val="nil"/>
              <w:bottom w:val="nil"/>
              <w:right w:val="nil"/>
            </w:tcBorders>
            <w:shd w:val="clear" w:color="auto" w:fill="auto"/>
            <w:vAlign w:val="center"/>
          </w:tcPr>
          <w:p w14:paraId="36867725" w14:textId="77777777" w:rsidR="00603F3F" w:rsidRPr="00CD7FBE" w:rsidRDefault="00603F3F" w:rsidP="00603F3F">
            <w:pPr>
              <w:widowControl w:val="0"/>
              <w:spacing w:after="0"/>
              <w:jc w:val="center"/>
              <w:rPr>
                <w:rFonts w:ascii="Times New Roman" w:hAnsi="Times New Roman"/>
                <w:sz w:val="16"/>
                <w:szCs w:val="16"/>
              </w:rPr>
            </w:pPr>
          </w:p>
        </w:tc>
        <w:tc>
          <w:tcPr>
            <w:tcW w:w="705" w:type="dxa"/>
            <w:tcBorders>
              <w:top w:val="nil"/>
              <w:left w:val="nil"/>
              <w:bottom w:val="single" w:sz="4" w:space="0" w:color="auto"/>
              <w:tr2bl w:val="single" w:sz="4" w:space="0" w:color="auto"/>
            </w:tcBorders>
            <w:shd w:val="clear" w:color="auto" w:fill="auto"/>
            <w:vAlign w:val="center"/>
          </w:tcPr>
          <w:p w14:paraId="5F95A5E6" w14:textId="77777777" w:rsidR="00603F3F" w:rsidRPr="00CD7FBE" w:rsidRDefault="00603F3F" w:rsidP="00603F3F">
            <w:pPr>
              <w:widowControl w:val="0"/>
              <w:autoSpaceDE w:val="0"/>
              <w:autoSpaceDN w:val="0"/>
              <w:adjustRightInd w:val="0"/>
              <w:spacing w:after="0"/>
              <w:jc w:val="center"/>
              <w:rPr>
                <w:rFonts w:ascii="Times New Roman" w:hAnsi="Times New Roman"/>
                <w:b/>
                <w:color w:val="000000"/>
                <w:sz w:val="20"/>
                <w:szCs w:val="20"/>
                <w:lang w:eastAsia="it-IT"/>
              </w:rPr>
            </w:pPr>
          </w:p>
        </w:tc>
        <w:tc>
          <w:tcPr>
            <w:tcW w:w="2867" w:type="dxa"/>
            <w:vMerge/>
            <w:tcBorders>
              <w:bottom w:val="nil"/>
            </w:tcBorders>
            <w:shd w:val="clear" w:color="auto" w:fill="92D050"/>
            <w:vAlign w:val="center"/>
          </w:tcPr>
          <w:p w14:paraId="0B0A5222" w14:textId="77777777" w:rsidR="00603F3F" w:rsidRPr="00CD7FBE" w:rsidRDefault="00603F3F" w:rsidP="00603F3F">
            <w:pPr>
              <w:widowControl w:val="0"/>
              <w:autoSpaceDE w:val="0"/>
              <w:autoSpaceDN w:val="0"/>
              <w:adjustRightInd w:val="0"/>
              <w:spacing w:after="0"/>
              <w:jc w:val="center"/>
              <w:rPr>
                <w:rFonts w:ascii="Times New Roman" w:hAnsi="Times New Roman"/>
                <w:color w:val="000000"/>
                <w:sz w:val="16"/>
                <w:szCs w:val="16"/>
                <w:lang w:val="en-US" w:eastAsia="it-IT"/>
              </w:rPr>
            </w:pPr>
          </w:p>
        </w:tc>
      </w:tr>
    </w:tbl>
    <w:p w14:paraId="0C051C38" w14:textId="77777777" w:rsidR="00603F3F" w:rsidRPr="00974CED" w:rsidRDefault="00603F3F" w:rsidP="00603F3F">
      <w:pPr>
        <w:widowControl w:val="0"/>
        <w:autoSpaceDE w:val="0"/>
        <w:autoSpaceDN w:val="0"/>
        <w:adjustRightInd w:val="0"/>
        <w:spacing w:after="0"/>
        <w:jc w:val="center"/>
        <w:rPr>
          <w:rFonts w:ascii="Times New Roman" w:hAnsi="Times New Roman"/>
          <w:b/>
          <w:color w:val="000000"/>
          <w:sz w:val="12"/>
          <w:szCs w:val="12"/>
          <w:lang w:eastAsia="it-IT"/>
        </w:rPr>
      </w:pPr>
    </w:p>
    <w:p w14:paraId="3B183A28" w14:textId="4F1F3561" w:rsidR="00603F3F" w:rsidRPr="00974CED" w:rsidRDefault="00603F3F" w:rsidP="00603F3F">
      <w:pPr>
        <w:widowControl w:val="0"/>
        <w:spacing w:after="0"/>
        <w:jc w:val="center"/>
        <w:rPr>
          <w:rFonts w:ascii="Times New Roman" w:hAnsi="Times New Roman"/>
          <w:b/>
          <w:color w:val="000000"/>
          <w:sz w:val="12"/>
          <w:szCs w:val="12"/>
          <w:lang w:eastAsia="it-IT"/>
        </w:rPr>
      </w:pPr>
      <w:r w:rsidRPr="00974CED">
        <w:rPr>
          <w:rFonts w:ascii="Times New Roman" w:hAnsi="Times New Roman"/>
          <w:b/>
          <w:color w:val="000000"/>
          <w:sz w:val="12"/>
          <w:szCs w:val="12"/>
          <w:lang w:eastAsia="it-IT"/>
        </w:rPr>
        <w:t>Figura 1: Le principali tipologie di reato che il PTPCT intende prevenire</w:t>
      </w:r>
    </w:p>
    <w:p w14:paraId="2B7BD1A5" w14:textId="77777777" w:rsidR="00603F3F" w:rsidRPr="00CD7FBE" w:rsidRDefault="00603F3F" w:rsidP="00603F3F">
      <w:pPr>
        <w:widowControl w:val="0"/>
        <w:spacing w:after="0"/>
        <w:jc w:val="center"/>
        <w:rPr>
          <w:rFonts w:ascii="Times New Roman" w:hAnsi="Times New Roman"/>
          <w:b/>
          <w:color w:val="000000"/>
          <w:sz w:val="20"/>
          <w:szCs w:val="20"/>
          <w:lang w:eastAsia="it-IT"/>
        </w:rPr>
      </w:pPr>
    </w:p>
    <w:p w14:paraId="5EA0A48B" w14:textId="2B8AE0FB"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color w:val="000000"/>
          <w:sz w:val="20"/>
          <w:szCs w:val="20"/>
          <w:lang w:eastAsia="it-IT"/>
        </w:rPr>
        <w:t xml:space="preserve">Per quanto riguarda tutte le altre tipologie di reato, avendo </w:t>
      </w:r>
      <w:r>
        <w:rPr>
          <w:rFonts w:ascii="Times New Roman" w:hAnsi="Times New Roman"/>
          <w:color w:val="000000"/>
          <w:sz w:val="20"/>
          <w:szCs w:val="20"/>
          <w:lang w:eastAsia="it-IT"/>
        </w:rPr>
        <w:t>la società</w:t>
      </w:r>
      <w:r w:rsidRPr="00CD7FBE">
        <w:rPr>
          <w:rFonts w:ascii="Times New Roman" w:hAnsi="Times New Roman"/>
          <w:color w:val="000000"/>
          <w:sz w:val="20"/>
          <w:szCs w:val="20"/>
          <w:lang w:eastAsia="it-IT"/>
        </w:rPr>
        <w:t xml:space="preserve"> adottato un MOG ai sensi del D.L.gs. n. 231/2001 integrato ex L. 190/2012 e decreti collegati, di cui il presente Piano è un</w:t>
      </w:r>
      <w:r>
        <w:rPr>
          <w:rFonts w:ascii="Times New Roman" w:hAnsi="Times New Roman"/>
          <w:color w:val="000000"/>
          <w:sz w:val="20"/>
          <w:szCs w:val="20"/>
          <w:lang w:eastAsia="it-IT"/>
        </w:rPr>
        <w:t>a Parte</w:t>
      </w:r>
      <w:r w:rsidRPr="00CD7FBE">
        <w:rPr>
          <w:rFonts w:ascii="Times New Roman" w:hAnsi="Times New Roman"/>
          <w:color w:val="000000"/>
          <w:sz w:val="20"/>
          <w:szCs w:val="20"/>
          <w:lang w:eastAsia="it-IT"/>
        </w:rPr>
        <w:t xml:space="preserve"> – fermo restando la specificità dei reati presupposto e dei reati corruttivi – si riporta una </w:t>
      </w:r>
      <w:r w:rsidRPr="00327027">
        <w:rPr>
          <w:rFonts w:ascii="Times New Roman" w:hAnsi="Times New Roman"/>
          <w:color w:val="000000"/>
          <w:sz w:val="20"/>
          <w:szCs w:val="20"/>
          <w:lang w:eastAsia="it-IT"/>
        </w:rPr>
        <w:t xml:space="preserve">Tabella sintetica riepilogativa dei reati ex D. Lgs. 231/2001, L. 190/2012 e decreti </w:t>
      </w:r>
      <w:r w:rsidRPr="00CD2580">
        <w:rPr>
          <w:rFonts w:ascii="Times New Roman" w:hAnsi="Times New Roman"/>
          <w:color w:val="000000"/>
          <w:sz w:val="20"/>
          <w:szCs w:val="20"/>
          <w:lang w:eastAsia="it-IT"/>
        </w:rPr>
        <w:t>collegati (</w:t>
      </w:r>
      <w:r w:rsidR="00B56669" w:rsidRPr="00CD2580">
        <w:rPr>
          <w:rFonts w:ascii="Times New Roman" w:hAnsi="Times New Roman"/>
          <w:b/>
          <w:color w:val="000000"/>
          <w:sz w:val="20"/>
          <w:szCs w:val="20"/>
          <w:lang w:eastAsia="it-IT"/>
        </w:rPr>
        <w:t>A</w:t>
      </w:r>
      <w:r w:rsidRPr="00CD2580">
        <w:rPr>
          <w:rFonts w:ascii="Times New Roman" w:hAnsi="Times New Roman"/>
          <w:b/>
          <w:color w:val="000000"/>
          <w:sz w:val="20"/>
          <w:szCs w:val="20"/>
          <w:lang w:eastAsia="it-IT"/>
        </w:rPr>
        <w:t>llegato 4a</w:t>
      </w:r>
      <w:r w:rsidRPr="00CD2580">
        <w:rPr>
          <w:rFonts w:ascii="Times New Roman" w:hAnsi="Times New Roman"/>
          <w:color w:val="000000"/>
          <w:sz w:val="20"/>
          <w:szCs w:val="20"/>
          <w:lang w:eastAsia="it-IT"/>
        </w:rPr>
        <w:t>), con</w:t>
      </w:r>
      <w:r w:rsidRPr="00327027">
        <w:rPr>
          <w:rFonts w:ascii="Times New Roman" w:hAnsi="Times New Roman"/>
          <w:color w:val="000000"/>
          <w:sz w:val="20"/>
          <w:szCs w:val="20"/>
          <w:lang w:eastAsia="it-IT"/>
        </w:rPr>
        <w:t xml:space="preserve"> evidenziate le sanzioni pecuniarie e interdittive. </w:t>
      </w:r>
      <w:r w:rsidRPr="00327027">
        <w:rPr>
          <w:rFonts w:ascii="Times New Roman" w:hAnsi="Times New Roman"/>
          <w:sz w:val="20"/>
          <w:szCs w:val="20"/>
        </w:rPr>
        <w:t>Oltre alle fattispecie di cui sopra si ritiene necessario prevedere il monitoraggio delle fattispecie di rischio connesse alla più ampia visione di prevenzione sottesa alla stesura del presente PTPCT.</w:t>
      </w:r>
    </w:p>
    <w:p w14:paraId="53D53F7D" w14:textId="77777777" w:rsidR="00603F3F" w:rsidRPr="00CD7FBE" w:rsidRDefault="00603F3F" w:rsidP="00603F3F">
      <w:pPr>
        <w:widowControl w:val="0"/>
        <w:spacing w:after="0"/>
        <w:jc w:val="both"/>
        <w:rPr>
          <w:rFonts w:ascii="Times New Roman" w:hAnsi="Times New Roman"/>
          <w:sz w:val="20"/>
          <w:szCs w:val="20"/>
        </w:rPr>
      </w:pPr>
    </w:p>
    <w:p w14:paraId="36F173D4" w14:textId="77777777" w:rsidR="00603F3F" w:rsidRPr="00CD7FBE" w:rsidRDefault="00603F3F" w:rsidP="00603F3F">
      <w:pPr>
        <w:widowControl w:val="0"/>
        <w:spacing w:after="0"/>
        <w:jc w:val="both"/>
        <w:rPr>
          <w:rFonts w:ascii="Times New Roman" w:hAnsi="Times New Roman"/>
          <w:color w:val="000000"/>
          <w:sz w:val="20"/>
          <w:szCs w:val="20"/>
          <w:lang w:eastAsia="it-IT"/>
        </w:rPr>
      </w:pPr>
    </w:p>
    <w:p w14:paraId="67F5688D" w14:textId="77777777" w:rsidR="00603F3F" w:rsidRPr="00DB2F5B" w:rsidRDefault="00603F3F" w:rsidP="00603F3F">
      <w:pPr>
        <w:pStyle w:val="Titolo2"/>
        <w:keepNext w:val="0"/>
        <w:spacing w:line="276" w:lineRule="auto"/>
        <w:ind w:left="426" w:hanging="426"/>
        <w:rPr>
          <w:color w:val="0070C0"/>
        </w:rPr>
      </w:pPr>
      <w:bookmarkStart w:id="509" w:name="_Toc410231340"/>
      <w:bookmarkStart w:id="510" w:name="_Toc410231657"/>
      <w:bookmarkStart w:id="511" w:name="_Toc410232841"/>
      <w:bookmarkStart w:id="512" w:name="_Toc418505932"/>
      <w:bookmarkStart w:id="513" w:name="_Toc454796227"/>
      <w:bookmarkStart w:id="514" w:name="_Toc454796289"/>
      <w:bookmarkStart w:id="515" w:name="_Toc473547403"/>
      <w:bookmarkStart w:id="516" w:name="_Toc535854439"/>
      <w:r w:rsidRPr="00DB2F5B">
        <w:rPr>
          <w:color w:val="0070C0"/>
        </w:rPr>
        <w:t>Il codice etico e di comportamento</w:t>
      </w:r>
      <w:bookmarkEnd w:id="509"/>
      <w:bookmarkEnd w:id="510"/>
      <w:bookmarkEnd w:id="511"/>
      <w:bookmarkEnd w:id="512"/>
      <w:bookmarkEnd w:id="513"/>
      <w:bookmarkEnd w:id="514"/>
      <w:bookmarkEnd w:id="515"/>
      <w:bookmarkEnd w:id="516"/>
      <w:r w:rsidRPr="00DB2F5B">
        <w:rPr>
          <w:color w:val="0070C0"/>
        </w:rPr>
        <w:t xml:space="preserve"> </w:t>
      </w:r>
    </w:p>
    <w:p w14:paraId="4CB8CF93" w14:textId="5DA282A2"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rPr>
        <w:t xml:space="preserve">Tra le misure adottate per prevenire la corruzione si annoverano le disposizioni contenute nel Codice Etico e </w:t>
      </w:r>
      <w:r w:rsidRPr="00CD7FBE">
        <w:rPr>
          <w:rFonts w:ascii="Times New Roman" w:hAnsi="Times New Roman"/>
          <w:color w:val="000000"/>
          <w:sz w:val="20"/>
          <w:szCs w:val="20"/>
          <w:lang w:eastAsia="it-IT"/>
        </w:rPr>
        <w:t xml:space="preserve">di </w:t>
      </w:r>
      <w:r w:rsidRPr="00CD2580">
        <w:rPr>
          <w:rFonts w:ascii="Times New Roman" w:hAnsi="Times New Roman"/>
          <w:sz w:val="20"/>
          <w:szCs w:val="20"/>
          <w:lang w:eastAsia="it-IT"/>
        </w:rPr>
        <w:t>Comportamento (</w:t>
      </w:r>
      <w:r w:rsidR="002B2E05" w:rsidRPr="00CD2580">
        <w:rPr>
          <w:rFonts w:ascii="Times New Roman" w:hAnsi="Times New Roman"/>
          <w:b/>
          <w:sz w:val="20"/>
          <w:szCs w:val="20"/>
          <w:lang w:eastAsia="it-IT"/>
        </w:rPr>
        <w:t>A</w:t>
      </w:r>
      <w:r w:rsidRPr="00CD2580">
        <w:rPr>
          <w:rFonts w:ascii="Times New Roman" w:hAnsi="Times New Roman"/>
          <w:b/>
          <w:sz w:val="20"/>
          <w:szCs w:val="20"/>
          <w:lang w:eastAsia="it-IT"/>
        </w:rPr>
        <w:t>llegato n. 2</w:t>
      </w:r>
      <w:r w:rsidRPr="00CD2580">
        <w:rPr>
          <w:rFonts w:ascii="Times New Roman" w:hAnsi="Times New Roman"/>
          <w:sz w:val="20"/>
          <w:szCs w:val="20"/>
          <w:lang w:eastAsia="it-IT"/>
        </w:rPr>
        <w:t xml:space="preserve"> sezione prima e seconda</w:t>
      </w:r>
      <w:r w:rsidRPr="00CD2580">
        <w:rPr>
          <w:rFonts w:ascii="Times New Roman" w:hAnsi="Times New Roman"/>
          <w:sz w:val="20"/>
          <w:szCs w:val="20"/>
        </w:rPr>
        <w:t xml:space="preserve"> al MOG </w:t>
      </w:r>
      <w:r w:rsidRPr="00CD2580">
        <w:rPr>
          <w:rFonts w:ascii="Times New Roman" w:hAnsi="Times New Roman"/>
          <w:sz w:val="20"/>
          <w:szCs w:val="20"/>
          <w:lang w:eastAsia="it-IT"/>
        </w:rPr>
        <w:t>Parte Speciale</w:t>
      </w:r>
      <w:r w:rsidR="0047360A" w:rsidRPr="00CD2580">
        <w:rPr>
          <w:rStyle w:val="Rimandonotaapidipagina"/>
          <w:rFonts w:ascii="Times New Roman" w:hAnsi="Times New Roman"/>
          <w:sz w:val="20"/>
          <w:szCs w:val="20"/>
          <w:lang w:eastAsia="it-IT"/>
        </w:rPr>
        <w:footnoteReference w:id="2"/>
      </w:r>
      <w:r w:rsidRPr="00CD2580">
        <w:rPr>
          <w:rFonts w:ascii="Times New Roman" w:hAnsi="Times New Roman"/>
          <w:sz w:val="20"/>
          <w:szCs w:val="20"/>
          <w:lang w:eastAsia="it-IT"/>
        </w:rPr>
        <w:t>) a</w:t>
      </w:r>
      <w:r w:rsidRPr="00CD7FBE">
        <w:rPr>
          <w:rFonts w:ascii="Times New Roman" w:hAnsi="Times New Roman"/>
          <w:sz w:val="20"/>
          <w:szCs w:val="20"/>
          <w:lang w:eastAsia="it-IT"/>
        </w:rPr>
        <w:t xml:space="preserve"> cui si fa esplicito rinvio.</w:t>
      </w:r>
    </w:p>
    <w:p w14:paraId="690018E2" w14:textId="77777777" w:rsidR="00603F3F" w:rsidRPr="00CD7FBE" w:rsidRDefault="00603F3F" w:rsidP="00603F3F">
      <w:pPr>
        <w:widowControl w:val="0"/>
        <w:spacing w:after="0"/>
        <w:jc w:val="both"/>
        <w:rPr>
          <w:rFonts w:ascii="Times New Roman" w:hAnsi="Times New Roman"/>
          <w:sz w:val="20"/>
          <w:szCs w:val="20"/>
          <w:highlight w:val="yellow"/>
          <w:lang w:eastAsia="it-IT"/>
        </w:rPr>
      </w:pPr>
    </w:p>
    <w:p w14:paraId="5B25DCC6" w14:textId="7E8771A4" w:rsidR="00603F3F" w:rsidRPr="00CD7FBE" w:rsidRDefault="00603F3F" w:rsidP="00603F3F">
      <w:pPr>
        <w:widowControl w:val="0"/>
        <w:spacing w:after="0"/>
        <w:jc w:val="both"/>
        <w:rPr>
          <w:rFonts w:ascii="Times New Roman" w:hAnsi="Times New Roman"/>
          <w:i/>
          <w:sz w:val="20"/>
          <w:szCs w:val="20"/>
          <w:lang w:eastAsia="it-IT"/>
        </w:rPr>
      </w:pPr>
      <w:r w:rsidRPr="00CD7FBE">
        <w:rPr>
          <w:rFonts w:ascii="Times New Roman" w:hAnsi="Times New Roman"/>
          <w:sz w:val="20"/>
          <w:szCs w:val="20"/>
          <w:lang w:eastAsia="it-IT"/>
        </w:rPr>
        <w:t xml:space="preserve">Il </w:t>
      </w:r>
      <w:r w:rsidRPr="00CD7FBE">
        <w:rPr>
          <w:rFonts w:ascii="Times New Roman" w:hAnsi="Times New Roman"/>
          <w:sz w:val="20"/>
          <w:szCs w:val="20"/>
        </w:rPr>
        <w:t xml:space="preserve">Codice Etico e </w:t>
      </w:r>
      <w:r w:rsidRPr="00CD7FBE">
        <w:rPr>
          <w:rFonts w:ascii="Times New Roman" w:hAnsi="Times New Roman"/>
          <w:color w:val="000000"/>
          <w:sz w:val="20"/>
          <w:szCs w:val="20"/>
          <w:lang w:eastAsia="it-IT"/>
        </w:rPr>
        <w:t xml:space="preserve">di </w:t>
      </w:r>
      <w:r w:rsidRPr="00CD7FBE">
        <w:rPr>
          <w:rFonts w:ascii="Times New Roman" w:hAnsi="Times New Roman"/>
          <w:sz w:val="20"/>
          <w:szCs w:val="20"/>
          <w:lang w:eastAsia="it-IT"/>
        </w:rPr>
        <w:t xml:space="preserve">Comportamento ha </w:t>
      </w:r>
      <w:r w:rsidRPr="00CD7FBE">
        <w:rPr>
          <w:rFonts w:ascii="Times New Roman" w:hAnsi="Times New Roman"/>
          <w:sz w:val="20"/>
          <w:szCs w:val="20"/>
        </w:rPr>
        <w:t>recepito anche la Delibera della Commissione indipendente per la Valutazione, la Trasparenza e l’Integrità delle amministrazioni pubbliche n. 75 del 24 ottobre 2013 recante «</w:t>
      </w:r>
      <w:r w:rsidRPr="00CD7FBE">
        <w:rPr>
          <w:rFonts w:ascii="Times New Roman" w:hAnsi="Times New Roman"/>
          <w:i/>
          <w:sz w:val="20"/>
          <w:szCs w:val="20"/>
        </w:rPr>
        <w:t xml:space="preserve">Linee guida in materia di codici di comportamento delle pubbliche amministrazioni (art. 54, comma 5, </w:t>
      </w:r>
      <w:r>
        <w:rPr>
          <w:rFonts w:ascii="Times New Roman" w:hAnsi="Times New Roman"/>
          <w:i/>
          <w:sz w:val="20"/>
          <w:szCs w:val="20"/>
        </w:rPr>
        <w:t>D. Lgs</w:t>
      </w:r>
      <w:r w:rsidRPr="00CD7FBE">
        <w:rPr>
          <w:rFonts w:ascii="Times New Roman" w:hAnsi="Times New Roman"/>
          <w:i/>
          <w:sz w:val="20"/>
          <w:szCs w:val="20"/>
        </w:rPr>
        <w:t>. n. 165/2001)</w:t>
      </w:r>
      <w:r w:rsidRPr="00CD7FBE">
        <w:rPr>
          <w:rFonts w:ascii="Times New Roman" w:hAnsi="Times New Roman"/>
          <w:sz w:val="20"/>
          <w:szCs w:val="20"/>
        </w:rPr>
        <w:t>» la quale prevede che tali linee guida possono costituire un parametro di riferimento per l’elaborazione di codici di comportamento ed etici da parte degli ulteriori soggetti considerati dalla Legge n. 190/2012 (enti pubblici economici, enti di diritto privato in controllo pubblico, enti di diritto privato regolati o finanziati, autorità indipendenti), nella misura in cui l’adozione dei codici di comportamento costituisce uno strumento fondamentale ai fini della prevenzione della corruzione. Il Codice Etico e di Comportamento ha recepito, altresì, le disposizioni di cui al PNA e al D.P.R. n. 62/2013 “</w:t>
      </w:r>
      <w:r w:rsidRPr="00CD7FBE">
        <w:rPr>
          <w:rFonts w:ascii="Times New Roman" w:hAnsi="Times New Roman"/>
          <w:i/>
          <w:sz w:val="20"/>
          <w:szCs w:val="20"/>
          <w:lang w:eastAsia="it-IT"/>
        </w:rPr>
        <w:t>Regolamento recante codice di comportamento dei dipendenti pubblici, a norma dell’articolo 54 del decreto legislativo 30 marzo 2001, n. 165”.</w:t>
      </w:r>
    </w:p>
    <w:p w14:paraId="56937D62" w14:textId="77777777" w:rsidR="00603F3F" w:rsidRPr="00CD7FBE" w:rsidRDefault="00603F3F" w:rsidP="00603F3F">
      <w:pPr>
        <w:widowControl w:val="0"/>
        <w:spacing w:after="0"/>
        <w:jc w:val="both"/>
        <w:rPr>
          <w:rFonts w:ascii="Times New Roman" w:hAnsi="Times New Roman"/>
          <w:i/>
          <w:sz w:val="20"/>
          <w:szCs w:val="20"/>
          <w:lang w:eastAsia="it-IT"/>
        </w:rPr>
      </w:pPr>
    </w:p>
    <w:p w14:paraId="3883EBE1" w14:textId="4BDBE190" w:rsidR="00603F3F"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lang w:eastAsia="it-IT"/>
        </w:rPr>
        <w:t>Si specifica che tutto il personale è coinvolto nell’attuazione delle disposizioni contenute nella Legge n. 190/2012 nonché delle prescrizioni e misure del presente Piano e del Codice Etico e di Comportamento. In particolare, segnala le situazioni di illecito e le situazioni di conflitto di interessi.</w:t>
      </w:r>
      <w:r>
        <w:rPr>
          <w:rFonts w:ascii="Times New Roman" w:hAnsi="Times New Roman"/>
          <w:sz w:val="20"/>
          <w:szCs w:val="20"/>
          <w:lang w:eastAsia="it-IT"/>
        </w:rPr>
        <w:t xml:space="preserve"> </w:t>
      </w:r>
      <w:r w:rsidRPr="00CD7FBE">
        <w:rPr>
          <w:rFonts w:ascii="Times New Roman" w:hAnsi="Times New Roman"/>
          <w:sz w:val="20"/>
          <w:szCs w:val="20"/>
          <w:lang w:eastAsia="it-IT"/>
        </w:rPr>
        <w:t xml:space="preserve">Ciascun Responsabile di Struttura è tenuto a promuoverne la conoscenza da parte dei dipendenti della struttura cui è preposto attraverso momenti di incontro e di formazione specifica - la cui realizzazione deve essere puntualmente riferita al Responsabile per la prevenzione della corruzione nei report periodici - e vigilare sul rispetto delle prescrizioni, anche ai fini di un’eventuale attivazione del procedimento disciplinare e della valutazione individuale del singolo dipendente. </w:t>
      </w:r>
    </w:p>
    <w:p w14:paraId="37FCD9BA" w14:textId="77777777"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lang w:eastAsia="it-IT"/>
        </w:rPr>
        <w:t>In ogni caso dovranno essere prese in esame eventuali segnalazioni di cittadini per violazioni del Codice di comportamento, nonché per raccogliere proficue indicazioni per l’aggiornamento del Codice.</w:t>
      </w:r>
    </w:p>
    <w:p w14:paraId="7A3976E1" w14:textId="77777777" w:rsidR="00603F3F" w:rsidRPr="00CD7FBE" w:rsidRDefault="00603F3F" w:rsidP="00603F3F">
      <w:pPr>
        <w:widowControl w:val="0"/>
        <w:spacing w:after="0"/>
        <w:jc w:val="both"/>
        <w:rPr>
          <w:rFonts w:ascii="Times New Roman" w:hAnsi="Times New Roman"/>
          <w:sz w:val="20"/>
          <w:szCs w:val="20"/>
        </w:rPr>
      </w:pPr>
    </w:p>
    <w:p w14:paraId="562200A5" w14:textId="77777777" w:rsidR="00603F3F" w:rsidRPr="00B56669" w:rsidRDefault="00603F3F" w:rsidP="00603F3F">
      <w:pPr>
        <w:pStyle w:val="Titolo2"/>
        <w:keepNext w:val="0"/>
        <w:spacing w:line="276" w:lineRule="auto"/>
        <w:ind w:left="426" w:hanging="426"/>
        <w:rPr>
          <w:color w:val="0070C0"/>
        </w:rPr>
      </w:pPr>
      <w:bookmarkStart w:id="517" w:name="_Toc499709229"/>
      <w:bookmarkStart w:id="518" w:name="_Toc499709402"/>
      <w:bookmarkStart w:id="519" w:name="_Toc499709587"/>
      <w:bookmarkStart w:id="520" w:name="_Toc499709771"/>
      <w:bookmarkStart w:id="521" w:name="_Toc499709955"/>
      <w:bookmarkStart w:id="522" w:name="_Toc499710141"/>
      <w:bookmarkStart w:id="523" w:name="_Toc499797199"/>
      <w:bookmarkStart w:id="524" w:name="_Toc499880412"/>
      <w:bookmarkStart w:id="525" w:name="_Toc499881281"/>
      <w:bookmarkStart w:id="526" w:name="_Toc499883477"/>
      <w:bookmarkStart w:id="527" w:name="_Toc499883693"/>
      <w:bookmarkStart w:id="528" w:name="_Toc499883909"/>
      <w:bookmarkStart w:id="529" w:name="_Toc499884099"/>
      <w:bookmarkStart w:id="530" w:name="_Toc500232346"/>
      <w:bookmarkStart w:id="531" w:name="_Toc499709230"/>
      <w:bookmarkStart w:id="532" w:name="_Toc499709403"/>
      <w:bookmarkStart w:id="533" w:name="_Toc499709588"/>
      <w:bookmarkStart w:id="534" w:name="_Toc499709772"/>
      <w:bookmarkStart w:id="535" w:name="_Toc499709956"/>
      <w:bookmarkStart w:id="536" w:name="_Toc499710142"/>
      <w:bookmarkStart w:id="537" w:name="_Toc499797200"/>
      <w:bookmarkStart w:id="538" w:name="_Toc499880413"/>
      <w:bookmarkStart w:id="539" w:name="_Toc499881282"/>
      <w:bookmarkStart w:id="540" w:name="_Toc499883478"/>
      <w:bookmarkStart w:id="541" w:name="_Toc499883694"/>
      <w:bookmarkStart w:id="542" w:name="_Toc499883910"/>
      <w:bookmarkStart w:id="543" w:name="_Toc499884100"/>
      <w:bookmarkStart w:id="544" w:name="_Toc500232347"/>
      <w:bookmarkStart w:id="545" w:name="_Toc499709231"/>
      <w:bookmarkStart w:id="546" w:name="_Toc499709404"/>
      <w:bookmarkStart w:id="547" w:name="_Toc499709589"/>
      <w:bookmarkStart w:id="548" w:name="_Toc499709773"/>
      <w:bookmarkStart w:id="549" w:name="_Toc499709957"/>
      <w:bookmarkStart w:id="550" w:name="_Toc499710143"/>
      <w:bookmarkStart w:id="551" w:name="_Toc499797201"/>
      <w:bookmarkStart w:id="552" w:name="_Toc499880414"/>
      <w:bookmarkStart w:id="553" w:name="_Toc499881283"/>
      <w:bookmarkStart w:id="554" w:name="_Toc499883479"/>
      <w:bookmarkStart w:id="555" w:name="_Toc499883695"/>
      <w:bookmarkStart w:id="556" w:name="_Toc499883911"/>
      <w:bookmarkStart w:id="557" w:name="_Toc499884101"/>
      <w:bookmarkStart w:id="558" w:name="_Toc500232348"/>
      <w:bookmarkStart w:id="559" w:name="_Toc499709232"/>
      <w:bookmarkStart w:id="560" w:name="_Toc499709405"/>
      <w:bookmarkStart w:id="561" w:name="_Toc499709590"/>
      <w:bookmarkStart w:id="562" w:name="_Toc499709774"/>
      <w:bookmarkStart w:id="563" w:name="_Toc499709958"/>
      <w:bookmarkStart w:id="564" w:name="_Toc499710144"/>
      <w:bookmarkStart w:id="565" w:name="_Toc499797202"/>
      <w:bookmarkStart w:id="566" w:name="_Toc499880415"/>
      <w:bookmarkStart w:id="567" w:name="_Toc499881284"/>
      <w:bookmarkStart w:id="568" w:name="_Toc499883480"/>
      <w:bookmarkStart w:id="569" w:name="_Toc499883696"/>
      <w:bookmarkStart w:id="570" w:name="_Toc499883912"/>
      <w:bookmarkStart w:id="571" w:name="_Toc499884102"/>
      <w:bookmarkStart w:id="572" w:name="_Toc500232349"/>
      <w:bookmarkStart w:id="573" w:name="_Toc410231341"/>
      <w:bookmarkStart w:id="574" w:name="_Toc410231658"/>
      <w:bookmarkStart w:id="575" w:name="_Toc410232842"/>
      <w:bookmarkStart w:id="576" w:name="_Toc418505933"/>
      <w:bookmarkStart w:id="577" w:name="_Toc454796228"/>
      <w:bookmarkStart w:id="578" w:name="_Toc454796290"/>
      <w:bookmarkStart w:id="579" w:name="_Toc535854440"/>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sidRPr="00B56669">
        <w:rPr>
          <w:color w:val="0070C0"/>
        </w:rPr>
        <w:t>Il Whistleblowing</w:t>
      </w:r>
      <w:bookmarkEnd w:id="573"/>
      <w:bookmarkEnd w:id="574"/>
      <w:bookmarkEnd w:id="575"/>
      <w:bookmarkEnd w:id="576"/>
      <w:bookmarkEnd w:id="577"/>
      <w:bookmarkEnd w:id="578"/>
      <w:bookmarkEnd w:id="579"/>
      <w:r w:rsidRPr="00B56669">
        <w:rPr>
          <w:color w:val="0070C0"/>
        </w:rPr>
        <w:t xml:space="preserve"> </w:t>
      </w:r>
    </w:p>
    <w:p w14:paraId="717FABFB"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Il </w:t>
      </w:r>
      <w:r w:rsidRPr="00CD7FBE">
        <w:rPr>
          <w:rFonts w:ascii="Times New Roman" w:hAnsi="Times New Roman"/>
          <w:i/>
          <w:iCs/>
          <w:color w:val="000000"/>
          <w:sz w:val="20"/>
          <w:szCs w:val="20"/>
          <w:lang w:eastAsia="it-IT"/>
        </w:rPr>
        <w:t xml:space="preserve">Whistleblowing </w:t>
      </w:r>
      <w:r w:rsidRPr="00CD7FBE">
        <w:rPr>
          <w:rFonts w:ascii="Times New Roman" w:hAnsi="Times New Roman"/>
          <w:color w:val="000000"/>
          <w:sz w:val="20"/>
          <w:szCs w:val="20"/>
          <w:lang w:eastAsia="it-IT"/>
        </w:rPr>
        <w:t>è un meccanismo per l'individuazione di irregolarità o di reati.</w:t>
      </w:r>
    </w:p>
    <w:p w14:paraId="49F5A78E"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7029D7A9"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L'art. 1, comma 51, della legge n. 190/2012</w:t>
      </w:r>
      <w:r w:rsidRPr="00CD7FBE">
        <w:rPr>
          <w:rStyle w:val="Rimandonotadichiusura"/>
          <w:rFonts w:ascii="Times New Roman" w:hAnsi="Times New Roman"/>
          <w:color w:val="000000"/>
          <w:sz w:val="20"/>
          <w:szCs w:val="20"/>
          <w:lang w:eastAsia="it-IT"/>
        </w:rPr>
        <w:endnoteReference w:id="42"/>
      </w:r>
      <w:r w:rsidRPr="00CD7FBE">
        <w:rPr>
          <w:rFonts w:ascii="Times New Roman" w:hAnsi="Times New Roman"/>
          <w:color w:val="000000"/>
          <w:sz w:val="20"/>
          <w:szCs w:val="20"/>
          <w:lang w:eastAsia="it-IT"/>
        </w:rPr>
        <w:t xml:space="preserve"> ha introdotto una forma di tutela nei confronti del dipendente pubblico che segnala degli illeciti prevedendo che “</w:t>
      </w:r>
      <w:r w:rsidRPr="00CD7FBE">
        <w:rPr>
          <w:rFonts w:ascii="Times New Roman" w:hAnsi="Times New Roman"/>
          <w:i/>
          <w:color w:val="000000"/>
          <w:sz w:val="20"/>
          <w:szCs w:val="20"/>
          <w:lang w:eastAsia="it-IT"/>
        </w:rPr>
        <w:t>fuori dei casi di responsabilità a titolo di calunnia o diffamazione, ovvero per lo stesso titolo ai sensi dell'articolo 2043 del codice civile, il pubblico dipendente che denuncia all'autorità giudiziaria o alla Corte dei conti, ovvero riferisce al proprio superiore gerarchico condotte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w:t>
      </w:r>
      <w:r w:rsidRPr="00CD7FBE">
        <w:rPr>
          <w:rFonts w:ascii="Times New Roman" w:hAnsi="Times New Roman"/>
          <w:color w:val="000000"/>
          <w:sz w:val="20"/>
          <w:szCs w:val="20"/>
          <w:lang w:eastAsia="it-IT"/>
        </w:rPr>
        <w:t xml:space="preserve">”. </w:t>
      </w:r>
    </w:p>
    <w:p w14:paraId="0627930F" w14:textId="694690BD"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Il principio espresso nell’articolo sopra riportato è stato recepito nell’art. 54-bis del D. </w:t>
      </w:r>
      <w:r w:rsidRPr="00FB1545">
        <w:rPr>
          <w:rFonts w:ascii="Times New Roman" w:hAnsi="Times New Roman"/>
          <w:color w:val="000000"/>
          <w:sz w:val="20"/>
        </w:rPr>
        <w:t xml:space="preserve">Lgs. </w:t>
      </w:r>
      <w:r>
        <w:rPr>
          <w:rFonts w:ascii="Times New Roman" w:hAnsi="Times New Roman"/>
          <w:color w:val="000000"/>
          <w:sz w:val="20"/>
          <w:szCs w:val="20"/>
          <w:lang w:eastAsia="it-IT"/>
        </w:rPr>
        <w:t xml:space="preserve">165/2001 come da ultimo modificato dalla L. n. 179/2017 che ha recepito le indicazioni delle </w:t>
      </w:r>
      <w:r w:rsidRPr="00CD7FBE">
        <w:rPr>
          <w:rFonts w:ascii="Times New Roman" w:hAnsi="Times New Roman"/>
          <w:color w:val="000000"/>
          <w:sz w:val="20"/>
          <w:szCs w:val="20"/>
          <w:lang w:eastAsia="it-IT"/>
        </w:rPr>
        <w:t>“</w:t>
      </w:r>
      <w:r w:rsidRPr="00CD7FBE">
        <w:rPr>
          <w:rFonts w:ascii="Times New Roman" w:hAnsi="Times New Roman"/>
          <w:i/>
          <w:color w:val="000000"/>
          <w:sz w:val="20"/>
          <w:szCs w:val="20"/>
          <w:lang w:eastAsia="it-IT"/>
        </w:rPr>
        <w:t>Linee guida in materia di tutela del dipendente pubblico che segnala illeciti (c.d. Whistleblower)</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adottate con deliberazione A.N.AC. n. 6 del 28/4/2015. </w:t>
      </w:r>
    </w:p>
    <w:p w14:paraId="1E831CF5" w14:textId="1015F0A0"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Il nuovo testo legislativo </w:t>
      </w:r>
      <w:r w:rsidRPr="000A15C7">
        <w:rPr>
          <w:rFonts w:ascii="Times New Roman" w:hAnsi="Times New Roman"/>
          <w:color w:val="000000"/>
          <w:sz w:val="20"/>
          <w:szCs w:val="20"/>
          <w:lang w:eastAsia="it-IT"/>
        </w:rPr>
        <w:t>rende più concrete ed effettive le misure di tutela a favore del segnalante, ritenendo quelle del testo previg</w:t>
      </w:r>
      <w:r>
        <w:rPr>
          <w:rFonts w:ascii="Times New Roman" w:hAnsi="Times New Roman"/>
          <w:color w:val="000000"/>
          <w:sz w:val="20"/>
          <w:szCs w:val="20"/>
          <w:lang w:eastAsia="it-IT"/>
        </w:rPr>
        <w:t xml:space="preserve">ente non sufficienti (l'ANAC </w:t>
      </w:r>
      <w:r w:rsidRPr="000A15C7">
        <w:rPr>
          <w:rFonts w:ascii="Times New Roman" w:hAnsi="Times New Roman"/>
          <w:color w:val="000000"/>
          <w:sz w:val="20"/>
          <w:szCs w:val="20"/>
          <w:lang w:eastAsia="it-IT"/>
        </w:rPr>
        <w:t xml:space="preserve">definiva infatti </w:t>
      </w:r>
      <w:r>
        <w:rPr>
          <w:rFonts w:ascii="Times New Roman" w:hAnsi="Times New Roman"/>
          <w:color w:val="000000"/>
          <w:sz w:val="20"/>
          <w:szCs w:val="20"/>
          <w:lang w:eastAsia="it-IT"/>
        </w:rPr>
        <w:t xml:space="preserve">le sue linee guida </w:t>
      </w:r>
      <w:r w:rsidRPr="000A15C7">
        <w:rPr>
          <w:rFonts w:ascii="Times New Roman" w:hAnsi="Times New Roman"/>
          <w:color w:val="000000"/>
          <w:sz w:val="20"/>
          <w:szCs w:val="20"/>
          <w:lang w:eastAsia="it-IT"/>
        </w:rPr>
        <w:t>generali e astratte).</w:t>
      </w:r>
    </w:p>
    <w:p w14:paraId="34BCDFD9" w14:textId="3DCCEB54"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453FA0">
        <w:rPr>
          <w:rFonts w:ascii="Times New Roman" w:hAnsi="Times New Roman"/>
          <w:color w:val="000000"/>
          <w:sz w:val="20"/>
          <w:szCs w:val="20"/>
          <w:lang w:eastAsia="it-IT"/>
        </w:rPr>
        <w:t>Viene così stabilito, a tutela del segnalante, il divieto di qualsiasi provvedimento dal quale possano derivare direttamente o indirettamente effetti negativi sul rapporto e sulle condizioni di lavoro (con espresso riferimento a licenziamento, trasferimento, demansionamento ed applicazione di sanzioni), comminandone la nullità, nonché la reintegrazione del lavoratore eventualmente licenziato a motivo della segnalazione. </w:t>
      </w:r>
    </w:p>
    <w:p w14:paraId="148D4A73"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453FA0">
        <w:rPr>
          <w:rFonts w:ascii="Times New Roman" w:hAnsi="Times New Roman"/>
          <w:color w:val="000000"/>
          <w:sz w:val="20"/>
          <w:szCs w:val="20"/>
          <w:lang w:eastAsia="it-IT"/>
        </w:rPr>
        <w:t>Quale ulteriore elemento rafforzativo della tutela accordata, la legge aggiunge che spetta all'amministrazione dimostrare che la misura discriminatoria o ritorsiva eventualmente adottata nei confronti del segnalante è stata motivata da ragioni estranee alla segnalazione.</w:t>
      </w:r>
    </w:p>
    <w:p w14:paraId="796CDCC3" w14:textId="5D6A1B75"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453FA0">
        <w:rPr>
          <w:rFonts w:ascii="Times New Roman" w:hAnsi="Times New Roman"/>
          <w:color w:val="000000"/>
          <w:sz w:val="20"/>
          <w:szCs w:val="20"/>
          <w:lang w:eastAsia="it-IT"/>
        </w:rPr>
        <w:t>Tali tutele non potranno naturalmente attuarsi nel caso sia accertata (anche con sentenza di primo grado) una responsabilità penale del segnalante per calunnia o diffamazione o civile per dolo o colpa grave. </w:t>
      </w:r>
    </w:p>
    <w:p w14:paraId="4AAC4DE4" w14:textId="5BB2E3D8"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E29A0">
        <w:rPr>
          <w:rFonts w:ascii="Times New Roman" w:hAnsi="Times New Roman"/>
          <w:color w:val="000000"/>
          <w:sz w:val="20"/>
          <w:szCs w:val="20"/>
          <w:lang w:eastAsia="it-IT"/>
        </w:rPr>
        <w:t>Infine, in relazione all'ambito applicativo, sempre sulla scorta delle indicazioni delle citate linee guida dell'ANAC, vengono espressamente ricompresi nell'ambito della tutela anche i dipendenti degli enti sottoposti a controllo pubblico, nonché i lavoratori ed i collaboratori delle imprese fornitrici della pubblica amministrazione.</w:t>
      </w:r>
    </w:p>
    <w:p w14:paraId="7E1A7B8E" w14:textId="0C1B0C35"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A56D5">
        <w:rPr>
          <w:rFonts w:ascii="Times New Roman" w:hAnsi="Times New Roman"/>
          <w:color w:val="000000"/>
          <w:sz w:val="20"/>
          <w:szCs w:val="20"/>
          <w:lang w:eastAsia="it-IT"/>
        </w:rPr>
        <w:t>Oltre alla tutela, la legge 179 del 2017 disciplina anche gli aspetti relativi alla segnalazione stessa. </w:t>
      </w:r>
      <w:r w:rsidRPr="001A56D5">
        <w:rPr>
          <w:rFonts w:ascii="Times New Roman" w:hAnsi="Times New Roman"/>
          <w:color w:val="000000"/>
          <w:sz w:val="20"/>
          <w:szCs w:val="20"/>
          <w:lang w:eastAsia="it-IT"/>
        </w:rPr>
        <w:br/>
        <w:t>Ferma restando la fondamentale premessa secondo cui l'identità del segnalante non può essere rivelata, la citata legge indica</w:t>
      </w:r>
      <w:r>
        <w:rPr>
          <w:rFonts w:ascii="Times New Roman" w:hAnsi="Times New Roman"/>
          <w:color w:val="000000"/>
          <w:sz w:val="20"/>
          <w:szCs w:val="20"/>
          <w:lang w:eastAsia="it-IT"/>
        </w:rPr>
        <w:t>:</w:t>
      </w:r>
      <w:r w:rsidRPr="001A56D5">
        <w:rPr>
          <w:rFonts w:ascii="Times New Roman" w:hAnsi="Times New Roman"/>
          <w:color w:val="000000"/>
          <w:sz w:val="20"/>
          <w:szCs w:val="20"/>
          <w:lang w:eastAsia="it-IT"/>
        </w:rPr>
        <w:t> </w:t>
      </w:r>
    </w:p>
    <w:p w14:paraId="517E8B96"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A56D5">
        <w:rPr>
          <w:rFonts w:ascii="Times New Roman" w:hAnsi="Times New Roman"/>
          <w:color w:val="000000"/>
          <w:sz w:val="20"/>
          <w:szCs w:val="20"/>
          <w:lang w:eastAsia="it-IT"/>
        </w:rPr>
        <w:t>-i soggetti ai quali la segnalazione può essere effettuata (Responsabile prevenzione della corruzione, ANAC, Autorità Giudiziaria ordinaria e contabile);</w:t>
      </w:r>
    </w:p>
    <w:p w14:paraId="78DBCDBA" w14:textId="71140E78"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1A56D5">
        <w:rPr>
          <w:rFonts w:ascii="Times New Roman" w:hAnsi="Times New Roman"/>
          <w:color w:val="000000"/>
          <w:sz w:val="20"/>
          <w:szCs w:val="20"/>
          <w:lang w:eastAsia="it-IT"/>
        </w:rPr>
        <w:t>-le modalità con la quale la segnalazione deve essere effettuata: informatica e con il ricorso a strumenti di crittografia, demandandone il dettaglio ad apposite istruzioni operative dell'ANAC.</w:t>
      </w:r>
    </w:p>
    <w:p w14:paraId="34EFDB4F" w14:textId="5B5672A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Applicazione informatica on line</w:t>
      </w:r>
    </w:p>
    <w:p w14:paraId="7EBB27AF" w14:textId="06108E44"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bookmarkStart w:id="580" w:name="programmatriennale"/>
      <w:bookmarkEnd w:id="580"/>
      <w:r>
        <w:rPr>
          <w:rFonts w:ascii="Times New Roman" w:hAnsi="Times New Roman"/>
          <w:color w:val="000000"/>
          <w:sz w:val="20"/>
          <w:szCs w:val="20"/>
          <w:lang w:eastAsia="it-IT"/>
        </w:rPr>
        <w:t xml:space="preserve">L’A.N.AC. </w:t>
      </w:r>
      <w:r w:rsidRPr="00873743">
        <w:rPr>
          <w:rFonts w:ascii="Times New Roman" w:hAnsi="Times New Roman"/>
          <w:color w:val="000000"/>
          <w:sz w:val="20"/>
          <w:szCs w:val="20"/>
          <w:lang w:eastAsia="it-IT"/>
        </w:rPr>
        <w:t>in data 8 febbraio 2018, ha reso disponibile sul proprio s</w:t>
      </w:r>
      <w:r>
        <w:rPr>
          <w:rFonts w:ascii="Times New Roman" w:hAnsi="Times New Roman"/>
          <w:color w:val="000000"/>
          <w:sz w:val="20"/>
          <w:szCs w:val="20"/>
          <w:lang w:eastAsia="it-IT"/>
        </w:rPr>
        <w:t>ito l'applicazione informatica “Whistleblowing”</w:t>
      </w:r>
      <w:r w:rsidRPr="00873743">
        <w:rPr>
          <w:rFonts w:ascii="Times New Roman" w:hAnsi="Times New Roman"/>
          <w:color w:val="000000"/>
          <w:sz w:val="20"/>
          <w:szCs w:val="20"/>
          <w:lang w:eastAsia="it-IT"/>
        </w:rPr>
        <w:t xml:space="preserve"> prevista come unica modalità di segnalazione di illeciti da parte dei dipendenti pubblici ed assimilati che vogliano rivolgersi direttamente all'ANAC, nell'ottica di garantire la più elevata tutela di riservatezza ed una maggiore celerità di trattazione della segnalazione. </w:t>
      </w:r>
    </w:p>
    <w:p w14:paraId="492C6AE9" w14:textId="09817582"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Pr>
          <w:rFonts w:ascii="Times New Roman" w:hAnsi="Times New Roman"/>
          <w:color w:val="000000"/>
          <w:sz w:val="20"/>
          <w:szCs w:val="20"/>
          <w:lang w:eastAsia="it-IT"/>
        </w:rPr>
        <w:t>Il Presidente dell’Autorità, con il comunicato del 5 settembre 2018, ha inoltre fornito “</w:t>
      </w:r>
      <w:r w:rsidRPr="002628AF">
        <w:rPr>
          <w:rFonts w:ascii="Times New Roman" w:hAnsi="Times New Roman"/>
          <w:bCs/>
          <w:i/>
          <w:color w:val="000000"/>
          <w:sz w:val="20"/>
          <w:szCs w:val="20"/>
          <w:lang w:eastAsia="it-IT"/>
        </w:rPr>
        <w:t>Indicazioni per la migli</w:t>
      </w:r>
      <w:r>
        <w:rPr>
          <w:rFonts w:ascii="Times New Roman" w:hAnsi="Times New Roman"/>
          <w:bCs/>
          <w:i/>
          <w:color w:val="000000"/>
          <w:sz w:val="20"/>
          <w:szCs w:val="20"/>
          <w:lang w:eastAsia="it-IT"/>
        </w:rPr>
        <w:t>or gestione delle</w:t>
      </w:r>
      <w:r w:rsidRPr="002628AF">
        <w:rPr>
          <w:rFonts w:ascii="Times New Roman" w:hAnsi="Times New Roman"/>
          <w:bCs/>
          <w:i/>
          <w:color w:val="000000"/>
          <w:sz w:val="20"/>
          <w:szCs w:val="20"/>
          <w:lang w:eastAsia="it-IT"/>
        </w:rPr>
        <w:t> segnalazioni di illeciti o irregolarità effettuate dai dip</w:t>
      </w:r>
      <w:r>
        <w:rPr>
          <w:rFonts w:ascii="Times New Roman" w:hAnsi="Times New Roman"/>
          <w:bCs/>
          <w:i/>
          <w:color w:val="000000"/>
          <w:sz w:val="20"/>
          <w:szCs w:val="20"/>
          <w:lang w:eastAsia="it-IT"/>
        </w:rPr>
        <w:t>endenti pubblici nell’interesse</w:t>
      </w:r>
      <w:r w:rsidRPr="002628AF">
        <w:rPr>
          <w:rFonts w:ascii="Times New Roman" w:hAnsi="Times New Roman"/>
          <w:bCs/>
          <w:i/>
          <w:color w:val="000000"/>
          <w:sz w:val="20"/>
          <w:szCs w:val="20"/>
          <w:lang w:eastAsia="it-IT"/>
        </w:rPr>
        <w:t> dell’integrità della pubblica amministrazione, ai sensi dell’art. 54-</w:t>
      </w:r>
      <w:r w:rsidRPr="002628AF">
        <w:rPr>
          <w:rFonts w:ascii="Times New Roman" w:hAnsi="Times New Roman"/>
          <w:bCs/>
          <w:i/>
          <w:iCs/>
          <w:color w:val="000000"/>
          <w:sz w:val="20"/>
          <w:szCs w:val="20"/>
          <w:lang w:eastAsia="it-IT"/>
        </w:rPr>
        <w:t>bis</w:t>
      </w:r>
      <w:r>
        <w:rPr>
          <w:rFonts w:ascii="Times New Roman" w:hAnsi="Times New Roman"/>
          <w:bCs/>
          <w:i/>
          <w:color w:val="000000"/>
          <w:sz w:val="20"/>
          <w:szCs w:val="20"/>
          <w:lang w:eastAsia="it-IT"/>
        </w:rPr>
        <w:t xml:space="preserve"> </w:t>
      </w:r>
      <w:r w:rsidRPr="002628AF">
        <w:rPr>
          <w:rFonts w:ascii="Times New Roman" w:hAnsi="Times New Roman"/>
          <w:bCs/>
          <w:i/>
          <w:color w:val="000000"/>
          <w:sz w:val="20"/>
          <w:szCs w:val="20"/>
          <w:lang w:eastAsia="it-IT"/>
        </w:rPr>
        <w:t>del decreto legislativo 30 marzo 2001, n. 165</w:t>
      </w:r>
      <w:r w:rsidRPr="002628AF">
        <w:rPr>
          <w:rFonts w:ascii="Times New Roman" w:hAnsi="Times New Roman"/>
          <w:bCs/>
          <w:color w:val="000000"/>
          <w:sz w:val="20"/>
          <w:szCs w:val="20"/>
          <w:lang w:eastAsia="it-IT"/>
        </w:rPr>
        <w:t xml:space="preserve"> </w:t>
      </w:r>
      <w:r w:rsidRPr="002628AF">
        <w:rPr>
          <w:rFonts w:ascii="Times New Roman" w:hAnsi="Times New Roman"/>
          <w:bCs/>
          <w:i/>
          <w:color w:val="000000"/>
          <w:sz w:val="20"/>
          <w:szCs w:val="20"/>
          <w:lang w:eastAsia="it-IT"/>
        </w:rPr>
        <w:t>(c.d.</w:t>
      </w:r>
      <w:r w:rsidRPr="002628AF">
        <w:rPr>
          <w:rFonts w:ascii="Times New Roman" w:hAnsi="Times New Roman"/>
          <w:bCs/>
          <w:color w:val="000000"/>
          <w:sz w:val="20"/>
          <w:szCs w:val="20"/>
          <w:lang w:eastAsia="it-IT"/>
        </w:rPr>
        <w:t> </w:t>
      </w:r>
      <w:r w:rsidRPr="002628AF">
        <w:rPr>
          <w:rFonts w:ascii="Times New Roman" w:hAnsi="Times New Roman"/>
          <w:bCs/>
          <w:i/>
          <w:iCs/>
          <w:color w:val="000000"/>
          <w:sz w:val="20"/>
          <w:szCs w:val="20"/>
          <w:lang w:eastAsia="it-IT"/>
        </w:rPr>
        <w:t>whistleblowers)</w:t>
      </w:r>
      <w:r>
        <w:rPr>
          <w:rFonts w:ascii="Times New Roman" w:hAnsi="Times New Roman"/>
          <w:bCs/>
          <w:iCs/>
          <w:color w:val="000000"/>
          <w:sz w:val="20"/>
          <w:szCs w:val="20"/>
          <w:lang w:eastAsia="it-IT"/>
        </w:rPr>
        <w:t xml:space="preserve">”. </w:t>
      </w:r>
    </w:p>
    <w:p w14:paraId="2F5BFF65" w14:textId="56452A47"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sidRPr="00432C4E">
        <w:rPr>
          <w:rFonts w:ascii="Times New Roman" w:hAnsi="Times New Roman"/>
          <w:bCs/>
          <w:iCs/>
          <w:color w:val="000000"/>
          <w:sz w:val="20"/>
          <w:szCs w:val="20"/>
          <w:lang w:eastAsia="it-IT"/>
        </w:rPr>
        <w:t>Tale applicazione consente infatti al segnalante registratosi di ricevere un codice identificativo univoco (c.d. "key code") ottenuto mediante un protocollo di crittografia, grazie al quale potrà dialogare con l'ANAC in modo spersonalizzato ed essere costantemente informato sullo stato della propria segnal</w:t>
      </w:r>
      <w:r>
        <w:rPr>
          <w:rFonts w:ascii="Times New Roman" w:hAnsi="Times New Roman"/>
          <w:bCs/>
          <w:iCs/>
          <w:color w:val="000000"/>
          <w:sz w:val="20"/>
          <w:szCs w:val="20"/>
          <w:lang w:eastAsia="it-IT"/>
        </w:rPr>
        <w:t xml:space="preserve">azione. L'ANAC infatti, qualora la </w:t>
      </w:r>
      <w:r w:rsidRPr="00432C4E">
        <w:rPr>
          <w:rFonts w:ascii="Times New Roman" w:hAnsi="Times New Roman"/>
          <w:bCs/>
          <w:iCs/>
          <w:color w:val="000000"/>
          <w:sz w:val="20"/>
          <w:szCs w:val="20"/>
          <w:lang w:eastAsia="it-IT"/>
        </w:rPr>
        <w:t>ritenga fondata, provvederà o a contattare il Responsabile della prevenzione della corruzione dell'amministrazione oggetto della segnalazione o a disporre l'invio della stessa alle istituzioni competenti (Autorità Giudiziaria, Guardia di Finanza, Corte dei Conti, Ispettorato pe</w:t>
      </w:r>
      <w:r>
        <w:rPr>
          <w:rFonts w:ascii="Times New Roman" w:hAnsi="Times New Roman"/>
          <w:bCs/>
          <w:iCs/>
          <w:color w:val="000000"/>
          <w:sz w:val="20"/>
          <w:szCs w:val="20"/>
          <w:lang w:eastAsia="it-IT"/>
        </w:rPr>
        <w:t>r la funzione pubblica).</w:t>
      </w:r>
    </w:p>
    <w:p w14:paraId="5F3899C0" w14:textId="273F5FF2"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p>
    <w:p w14:paraId="4550A194" w14:textId="7FB62CAC"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Pr>
          <w:rFonts w:ascii="Times New Roman" w:hAnsi="Times New Roman"/>
          <w:bCs/>
          <w:iCs/>
          <w:color w:val="000000"/>
          <w:sz w:val="20"/>
          <w:szCs w:val="20"/>
          <w:lang w:eastAsia="it-IT"/>
        </w:rPr>
        <w:t>Esercizio del potere sanzionatorio di A.N.AC.</w:t>
      </w:r>
    </w:p>
    <w:p w14:paraId="2FCD639B" w14:textId="23E36262" w:rsidR="00603F3F" w:rsidRPr="00014C46"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L’A.N.AC. ha recentemente adottato la delibera n. 1033 del 30 ottobre 2018 disciplinante il “</w:t>
      </w:r>
      <w:r w:rsidRPr="00014C46">
        <w:rPr>
          <w:rFonts w:ascii="Times New Roman" w:hAnsi="Times New Roman"/>
          <w:i/>
          <w:iCs/>
          <w:color w:val="000000"/>
          <w:sz w:val="20"/>
          <w:szCs w:val="20"/>
          <w:lang w:eastAsia="it-IT"/>
        </w:rPr>
        <w:t>Regolamento sull’esercizio del potere sanzionatorio in materia di tutela degli autori di segnalazioni di reati o irregolarità di cui siano venuti a conoscenza nell’ambito di un rapporto di lavoro</w:t>
      </w:r>
      <w:r>
        <w:rPr>
          <w:rFonts w:ascii="Times New Roman" w:hAnsi="Times New Roman"/>
          <w:iCs/>
          <w:color w:val="000000"/>
          <w:sz w:val="20"/>
          <w:szCs w:val="20"/>
          <w:lang w:eastAsia="it-IT"/>
        </w:rPr>
        <w:t>”.</w:t>
      </w:r>
    </w:p>
    <w:p w14:paraId="1ED9521F" w14:textId="5CAE8AE3" w:rsidR="00603F3F" w:rsidRDefault="00603F3F" w:rsidP="00603F3F">
      <w:pPr>
        <w:widowControl w:val="0"/>
        <w:autoSpaceDE w:val="0"/>
        <w:autoSpaceDN w:val="0"/>
        <w:adjustRightInd w:val="0"/>
        <w:spacing w:after="0"/>
        <w:jc w:val="both"/>
        <w:rPr>
          <w:rFonts w:ascii="Courier New" w:eastAsia="Times New Roman" w:hAnsi="Courier New" w:cs="Courier New"/>
          <w:color w:val="444444"/>
          <w:sz w:val="24"/>
          <w:szCs w:val="24"/>
          <w:lang w:eastAsia="it-IT"/>
        </w:rPr>
      </w:pPr>
      <w:r>
        <w:rPr>
          <w:rFonts w:ascii="Times New Roman" w:hAnsi="Times New Roman"/>
          <w:bCs/>
          <w:iCs/>
          <w:color w:val="000000"/>
          <w:sz w:val="20"/>
          <w:szCs w:val="20"/>
          <w:lang w:eastAsia="it-IT"/>
        </w:rPr>
        <w:t xml:space="preserve">Il succitato Regolamento </w:t>
      </w:r>
      <w:r w:rsidRPr="002628AF">
        <w:rPr>
          <w:rFonts w:ascii="Times New Roman" w:hAnsi="Times New Roman"/>
          <w:bCs/>
          <w:iCs/>
          <w:color w:val="000000"/>
          <w:sz w:val="20"/>
          <w:szCs w:val="20"/>
          <w:lang w:eastAsia="it-IT"/>
        </w:rPr>
        <w:t xml:space="preserve">disciplina il procedimento </w:t>
      </w:r>
      <w:r w:rsidRPr="005859AE">
        <w:rPr>
          <w:rFonts w:ascii="Times New Roman" w:hAnsi="Times New Roman"/>
          <w:bCs/>
          <w:iCs/>
          <w:color w:val="000000"/>
          <w:sz w:val="20"/>
          <w:szCs w:val="20"/>
          <w:lang w:eastAsia="it-IT"/>
        </w:rPr>
        <w:t>pe</w:t>
      </w:r>
      <w:r>
        <w:rPr>
          <w:rFonts w:ascii="Times New Roman" w:hAnsi="Times New Roman"/>
          <w:bCs/>
          <w:iCs/>
          <w:color w:val="000000"/>
          <w:sz w:val="20"/>
          <w:szCs w:val="20"/>
          <w:lang w:eastAsia="it-IT"/>
        </w:rPr>
        <w:t>r l'irrogazione delle sanzioni amministrative pecuniarie di</w:t>
      </w:r>
      <w:r w:rsidRPr="005859AE">
        <w:rPr>
          <w:rFonts w:ascii="Times New Roman" w:hAnsi="Times New Roman"/>
          <w:bCs/>
          <w:iCs/>
          <w:color w:val="000000"/>
          <w:sz w:val="20"/>
          <w:szCs w:val="20"/>
          <w:lang w:eastAsia="it-IT"/>
        </w:rPr>
        <w:t xml:space="preserve"> cui</w:t>
      </w:r>
      <w:r>
        <w:rPr>
          <w:rFonts w:ascii="Times New Roman" w:hAnsi="Times New Roman"/>
          <w:bCs/>
          <w:iCs/>
          <w:color w:val="000000"/>
          <w:sz w:val="20"/>
          <w:szCs w:val="20"/>
          <w:lang w:eastAsia="it-IT"/>
        </w:rPr>
        <w:t xml:space="preserve"> </w:t>
      </w:r>
      <w:r w:rsidRPr="005859AE">
        <w:rPr>
          <w:rFonts w:ascii="Times New Roman" w:hAnsi="Times New Roman"/>
          <w:bCs/>
          <w:iCs/>
          <w:color w:val="000000"/>
          <w:sz w:val="20"/>
          <w:szCs w:val="20"/>
          <w:lang w:eastAsia="it-IT"/>
        </w:rPr>
        <w:t>all'art. 54-bis, comma 6</w:t>
      </w:r>
      <w:r>
        <w:rPr>
          <w:rFonts w:ascii="Times New Roman" w:hAnsi="Times New Roman"/>
          <w:bCs/>
          <w:iCs/>
          <w:color w:val="000000"/>
          <w:sz w:val="20"/>
          <w:szCs w:val="20"/>
          <w:lang w:eastAsia="it-IT"/>
        </w:rPr>
        <w:t>.</w:t>
      </w:r>
      <w:r>
        <w:rPr>
          <w:rFonts w:ascii="Courier New" w:eastAsia="Times New Roman" w:hAnsi="Courier New" w:cs="Courier New"/>
          <w:color w:val="444444"/>
          <w:sz w:val="24"/>
          <w:szCs w:val="24"/>
          <w:lang w:eastAsia="it-IT"/>
        </w:rPr>
        <w:t xml:space="preserve"> </w:t>
      </w:r>
    </w:p>
    <w:p w14:paraId="3FCFA64E" w14:textId="6D9B7F23" w:rsidR="00603F3F" w:rsidRDefault="00603F3F" w:rsidP="00603F3F">
      <w:pPr>
        <w:widowControl w:val="0"/>
        <w:autoSpaceDE w:val="0"/>
        <w:autoSpaceDN w:val="0"/>
        <w:adjustRightInd w:val="0"/>
        <w:spacing w:after="0"/>
        <w:jc w:val="both"/>
        <w:rPr>
          <w:rFonts w:ascii="Times New Roman" w:hAnsi="Times New Roman"/>
          <w:bCs/>
          <w:iCs/>
          <w:color w:val="000000"/>
          <w:sz w:val="20"/>
          <w:szCs w:val="20"/>
          <w:lang w:eastAsia="it-IT"/>
        </w:rPr>
      </w:pPr>
      <w:r w:rsidRPr="002628AF">
        <w:rPr>
          <w:rFonts w:ascii="Times New Roman" w:hAnsi="Times New Roman"/>
          <w:bCs/>
          <w:iCs/>
          <w:color w:val="000000"/>
          <w:sz w:val="20"/>
          <w:szCs w:val="20"/>
          <w:lang w:eastAsia="it-IT"/>
        </w:rPr>
        <w:t>Le comunicazioni e le segnalazioni sono</w:t>
      </w:r>
      <w:r w:rsidRPr="00505A4D">
        <w:rPr>
          <w:rFonts w:ascii="Times New Roman" w:hAnsi="Times New Roman"/>
          <w:bCs/>
          <w:iCs/>
          <w:color w:val="000000"/>
          <w:sz w:val="20"/>
          <w:szCs w:val="20"/>
          <w:lang w:eastAsia="it-IT"/>
        </w:rPr>
        <w:t xml:space="preserve"> presentate, di </w:t>
      </w:r>
      <w:r w:rsidRPr="002628AF">
        <w:rPr>
          <w:rFonts w:ascii="Times New Roman" w:hAnsi="Times New Roman"/>
          <w:bCs/>
          <w:iCs/>
          <w:color w:val="000000"/>
          <w:sz w:val="20"/>
          <w:szCs w:val="20"/>
          <w:lang w:eastAsia="it-IT"/>
        </w:rPr>
        <w:t>norma,</w:t>
      </w:r>
      <w:r>
        <w:rPr>
          <w:rFonts w:ascii="Times New Roman" w:hAnsi="Times New Roman"/>
          <w:bCs/>
          <w:iCs/>
          <w:color w:val="000000"/>
          <w:sz w:val="20"/>
          <w:szCs w:val="20"/>
          <w:lang w:eastAsia="it-IT"/>
        </w:rPr>
        <w:t xml:space="preserve"> </w:t>
      </w:r>
      <w:r w:rsidRPr="00505A4D">
        <w:rPr>
          <w:rFonts w:ascii="Times New Roman" w:hAnsi="Times New Roman"/>
          <w:bCs/>
          <w:iCs/>
          <w:color w:val="000000"/>
          <w:sz w:val="20"/>
          <w:szCs w:val="20"/>
          <w:lang w:eastAsia="it-IT"/>
        </w:rPr>
        <w:t>attraverso il modulo della piattaf</w:t>
      </w:r>
      <w:r>
        <w:rPr>
          <w:rFonts w:ascii="Times New Roman" w:hAnsi="Times New Roman"/>
          <w:bCs/>
          <w:iCs/>
          <w:color w:val="000000"/>
          <w:sz w:val="20"/>
          <w:szCs w:val="20"/>
          <w:lang w:eastAsia="it-IT"/>
        </w:rPr>
        <w:t xml:space="preserve">orma informatica disponibile </w:t>
      </w:r>
      <w:r w:rsidRPr="00505A4D">
        <w:rPr>
          <w:rFonts w:ascii="Times New Roman" w:hAnsi="Times New Roman"/>
          <w:bCs/>
          <w:iCs/>
          <w:color w:val="000000"/>
          <w:sz w:val="20"/>
          <w:szCs w:val="20"/>
          <w:lang w:eastAsia="it-IT"/>
        </w:rPr>
        <w:t>sul</w:t>
      </w:r>
      <w:r>
        <w:rPr>
          <w:rFonts w:ascii="Times New Roman" w:hAnsi="Times New Roman"/>
          <w:bCs/>
          <w:iCs/>
          <w:color w:val="000000"/>
          <w:sz w:val="20"/>
          <w:szCs w:val="20"/>
          <w:lang w:eastAsia="it-IT"/>
        </w:rPr>
        <w:t xml:space="preserve"> sito istituzionale dell'Autorità. </w:t>
      </w:r>
      <w:r w:rsidRPr="00796DF3">
        <w:rPr>
          <w:rFonts w:ascii="Times New Roman" w:hAnsi="Times New Roman"/>
          <w:bCs/>
          <w:iCs/>
          <w:color w:val="000000"/>
          <w:sz w:val="20"/>
          <w:szCs w:val="20"/>
          <w:lang w:eastAsia="it-IT"/>
        </w:rPr>
        <w:t>Il R</w:t>
      </w:r>
      <w:r w:rsidRPr="002628AF">
        <w:rPr>
          <w:rFonts w:ascii="Times New Roman" w:hAnsi="Times New Roman"/>
          <w:bCs/>
          <w:iCs/>
          <w:color w:val="000000"/>
          <w:sz w:val="20"/>
          <w:szCs w:val="20"/>
          <w:lang w:eastAsia="it-IT"/>
        </w:rPr>
        <w:t xml:space="preserve">esponsabile del procedimento sanzionatorio </w:t>
      </w:r>
      <w:r>
        <w:rPr>
          <w:rFonts w:ascii="Times New Roman" w:hAnsi="Times New Roman"/>
          <w:bCs/>
          <w:iCs/>
          <w:color w:val="000000"/>
          <w:sz w:val="20"/>
          <w:szCs w:val="20"/>
          <w:lang w:eastAsia="it-IT"/>
        </w:rPr>
        <w:t>è</w:t>
      </w:r>
      <w:r w:rsidRPr="002628AF">
        <w:rPr>
          <w:rFonts w:ascii="Times New Roman" w:hAnsi="Times New Roman"/>
          <w:bCs/>
          <w:iCs/>
          <w:color w:val="000000"/>
          <w:sz w:val="20"/>
          <w:szCs w:val="20"/>
          <w:lang w:eastAsia="it-IT"/>
        </w:rPr>
        <w:t xml:space="preserve"> il </w:t>
      </w:r>
      <w:r w:rsidR="000104FD">
        <w:rPr>
          <w:rFonts w:ascii="Times New Roman" w:hAnsi="Times New Roman"/>
          <w:bCs/>
          <w:iCs/>
          <w:color w:val="000000"/>
          <w:sz w:val="20"/>
          <w:szCs w:val="20"/>
          <w:lang w:eastAsia="it-IT"/>
        </w:rPr>
        <w:t>Direttore</w:t>
      </w:r>
      <w:r w:rsidRPr="002628AF">
        <w:rPr>
          <w:rFonts w:ascii="Times New Roman" w:hAnsi="Times New Roman"/>
          <w:bCs/>
          <w:iCs/>
          <w:color w:val="000000"/>
          <w:sz w:val="20"/>
          <w:szCs w:val="20"/>
          <w:lang w:eastAsia="it-IT"/>
        </w:rPr>
        <w:t>.</w:t>
      </w:r>
      <w:r>
        <w:rPr>
          <w:rFonts w:ascii="Times New Roman" w:hAnsi="Times New Roman"/>
          <w:bCs/>
          <w:iCs/>
          <w:color w:val="000000"/>
          <w:sz w:val="20"/>
          <w:szCs w:val="20"/>
          <w:lang w:eastAsia="it-IT"/>
        </w:rPr>
        <w:t xml:space="preserve"> Quest’ultimo</w:t>
      </w:r>
      <w:r w:rsidRPr="00796DF3">
        <w:rPr>
          <w:rFonts w:ascii="Times New Roman" w:hAnsi="Times New Roman"/>
          <w:bCs/>
          <w:iCs/>
          <w:color w:val="000000"/>
          <w:sz w:val="20"/>
          <w:szCs w:val="20"/>
          <w:lang w:eastAsia="it-IT"/>
        </w:rPr>
        <w:t xml:space="preserve">, </w:t>
      </w:r>
      <w:r>
        <w:rPr>
          <w:rFonts w:ascii="Times New Roman" w:hAnsi="Times New Roman"/>
          <w:bCs/>
          <w:iCs/>
          <w:color w:val="000000"/>
          <w:sz w:val="20"/>
          <w:szCs w:val="20"/>
          <w:lang w:eastAsia="it-IT"/>
        </w:rPr>
        <w:t xml:space="preserve">esaminate le comunicazioni </w:t>
      </w:r>
      <w:r w:rsidRPr="00796DF3">
        <w:rPr>
          <w:rFonts w:ascii="Times New Roman" w:hAnsi="Times New Roman"/>
          <w:bCs/>
          <w:iCs/>
          <w:color w:val="000000"/>
          <w:sz w:val="20"/>
          <w:szCs w:val="20"/>
          <w:lang w:eastAsia="it-IT"/>
        </w:rPr>
        <w:t>e</w:t>
      </w:r>
      <w:r>
        <w:rPr>
          <w:rFonts w:ascii="Times New Roman" w:hAnsi="Times New Roman"/>
          <w:bCs/>
          <w:iCs/>
          <w:color w:val="000000"/>
          <w:sz w:val="20"/>
          <w:szCs w:val="20"/>
          <w:lang w:eastAsia="it-IT"/>
        </w:rPr>
        <w:t xml:space="preserve"> </w:t>
      </w:r>
      <w:r w:rsidRPr="00796DF3">
        <w:rPr>
          <w:rFonts w:ascii="Times New Roman" w:hAnsi="Times New Roman"/>
          <w:bCs/>
          <w:iCs/>
          <w:color w:val="000000"/>
          <w:sz w:val="20"/>
          <w:szCs w:val="20"/>
          <w:lang w:eastAsia="it-IT"/>
        </w:rPr>
        <w:t>le segnalazioni e attribuito a</w:t>
      </w:r>
      <w:r>
        <w:rPr>
          <w:rFonts w:ascii="Times New Roman" w:hAnsi="Times New Roman"/>
          <w:bCs/>
          <w:iCs/>
          <w:color w:val="000000"/>
          <w:sz w:val="20"/>
          <w:szCs w:val="20"/>
          <w:lang w:eastAsia="it-IT"/>
        </w:rPr>
        <w:t>lle stesse l'ordine di priorità di cui all’articolo 5 del Regolamento</w:t>
      </w:r>
      <w:r w:rsidRPr="00796DF3">
        <w:rPr>
          <w:rFonts w:ascii="Times New Roman" w:hAnsi="Times New Roman"/>
          <w:bCs/>
          <w:iCs/>
          <w:color w:val="000000"/>
          <w:sz w:val="20"/>
          <w:szCs w:val="20"/>
          <w:lang w:eastAsia="it-IT"/>
        </w:rPr>
        <w:t>, pu</w:t>
      </w:r>
      <w:r>
        <w:rPr>
          <w:rFonts w:ascii="Times New Roman" w:hAnsi="Times New Roman"/>
          <w:bCs/>
          <w:iCs/>
          <w:color w:val="000000"/>
          <w:sz w:val="20"/>
          <w:szCs w:val="20"/>
          <w:lang w:eastAsia="it-IT"/>
        </w:rPr>
        <w:t>ò</w:t>
      </w:r>
      <w:r w:rsidRPr="00796DF3">
        <w:rPr>
          <w:rFonts w:ascii="Times New Roman" w:hAnsi="Times New Roman"/>
          <w:bCs/>
          <w:iCs/>
          <w:color w:val="000000"/>
          <w:sz w:val="20"/>
          <w:szCs w:val="20"/>
          <w:lang w:eastAsia="it-IT"/>
        </w:rPr>
        <w:t xml:space="preserve"> individuare uno o pi</w:t>
      </w:r>
      <w:r>
        <w:rPr>
          <w:rFonts w:ascii="Times New Roman" w:hAnsi="Times New Roman"/>
          <w:bCs/>
          <w:iCs/>
          <w:color w:val="000000"/>
          <w:sz w:val="20"/>
          <w:szCs w:val="20"/>
          <w:lang w:eastAsia="it-IT"/>
        </w:rPr>
        <w:t>ù funzionari cui affidare</w:t>
      </w:r>
      <w:r w:rsidRPr="00796DF3">
        <w:rPr>
          <w:rFonts w:ascii="Times New Roman" w:hAnsi="Times New Roman"/>
          <w:bCs/>
          <w:iCs/>
          <w:color w:val="000000"/>
          <w:sz w:val="20"/>
          <w:szCs w:val="20"/>
          <w:lang w:eastAsia="it-IT"/>
        </w:rPr>
        <w:t xml:space="preserve"> lo</w:t>
      </w:r>
      <w:r>
        <w:rPr>
          <w:rFonts w:ascii="Times New Roman" w:hAnsi="Times New Roman"/>
          <w:bCs/>
          <w:iCs/>
          <w:color w:val="000000"/>
          <w:sz w:val="20"/>
          <w:szCs w:val="20"/>
          <w:lang w:eastAsia="it-IT"/>
        </w:rPr>
        <w:t xml:space="preserve"> </w:t>
      </w:r>
      <w:r w:rsidRPr="00796DF3">
        <w:rPr>
          <w:rFonts w:ascii="Times New Roman" w:hAnsi="Times New Roman"/>
          <w:bCs/>
          <w:iCs/>
          <w:color w:val="000000"/>
          <w:sz w:val="20"/>
          <w:szCs w:val="20"/>
          <w:lang w:eastAsia="it-IT"/>
        </w:rPr>
        <w:t>svolgimento dell'istruttoria.</w:t>
      </w:r>
      <w:r>
        <w:rPr>
          <w:rFonts w:ascii="Times New Roman" w:hAnsi="Times New Roman"/>
          <w:bCs/>
          <w:iCs/>
          <w:color w:val="000000"/>
          <w:sz w:val="20"/>
          <w:szCs w:val="20"/>
          <w:lang w:eastAsia="it-IT"/>
        </w:rPr>
        <w:t xml:space="preserve"> Il procedimento si conclude con un provvedimento di archiviazione o di irrogazione della sanzione amministrativa pecuniaria fra il minimo ed il massimo edittale.</w:t>
      </w:r>
      <w:r w:rsidRPr="00796DF3">
        <w:rPr>
          <w:rFonts w:ascii="Times New Roman" w:hAnsi="Times New Roman"/>
          <w:bCs/>
          <w:iCs/>
          <w:color w:val="000000"/>
          <w:sz w:val="20"/>
          <w:szCs w:val="20"/>
          <w:lang w:eastAsia="it-IT"/>
        </w:rPr>
        <w:t xml:space="preserve"> </w:t>
      </w:r>
    </w:p>
    <w:p w14:paraId="4C1097D8" w14:textId="77777777" w:rsidR="00EB4FD8" w:rsidRPr="00796DF3" w:rsidRDefault="00EB4FD8" w:rsidP="00603F3F">
      <w:pPr>
        <w:widowControl w:val="0"/>
        <w:autoSpaceDE w:val="0"/>
        <w:autoSpaceDN w:val="0"/>
        <w:adjustRightInd w:val="0"/>
        <w:spacing w:after="0"/>
        <w:jc w:val="both"/>
        <w:rPr>
          <w:rFonts w:ascii="Times New Roman" w:hAnsi="Times New Roman"/>
          <w:bCs/>
          <w:iCs/>
          <w:color w:val="000000"/>
          <w:sz w:val="20"/>
          <w:szCs w:val="20"/>
          <w:lang w:eastAsia="it-IT"/>
        </w:rPr>
      </w:pPr>
    </w:p>
    <w:p w14:paraId="1A22E7E4"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581" w:name="_Toc454796229"/>
      <w:bookmarkStart w:id="582" w:name="_Toc454796291"/>
      <w:bookmarkStart w:id="583" w:name="_Toc473547405"/>
      <w:bookmarkStart w:id="584" w:name="_Toc535854441"/>
      <w:r w:rsidRPr="00FB1545">
        <w:t>Le fasi della procedura</w:t>
      </w:r>
      <w:bookmarkEnd w:id="581"/>
      <w:bookmarkEnd w:id="582"/>
      <w:bookmarkEnd w:id="583"/>
      <w:bookmarkEnd w:id="584"/>
      <w:r w:rsidRPr="00FB1545">
        <w:t xml:space="preserve"> </w:t>
      </w:r>
    </w:p>
    <w:p w14:paraId="4826D285" w14:textId="346D73C5" w:rsidR="00603F3F" w:rsidRDefault="00603F3F" w:rsidP="00603F3F">
      <w:pPr>
        <w:widowControl w:val="0"/>
        <w:autoSpaceDE w:val="0"/>
        <w:autoSpaceDN w:val="0"/>
        <w:adjustRightInd w:val="0"/>
        <w:spacing w:after="0"/>
        <w:jc w:val="both"/>
        <w:rPr>
          <w:rFonts w:ascii="Times New Roman" w:hAnsi="Times New Roman"/>
          <w:color w:val="000000"/>
          <w:sz w:val="20"/>
        </w:rPr>
      </w:pPr>
      <w:r w:rsidRPr="00FB1545">
        <w:rPr>
          <w:rFonts w:ascii="Times New Roman" w:hAnsi="Times New Roman"/>
          <w:color w:val="000000"/>
          <w:sz w:val="20"/>
        </w:rPr>
        <w:t xml:space="preserve">Le fasi della procedura, conformi </w:t>
      </w:r>
      <w:r w:rsidRPr="00CD2580">
        <w:rPr>
          <w:rFonts w:ascii="Times New Roman" w:hAnsi="Times New Roman"/>
          <w:color w:val="000000"/>
          <w:sz w:val="20"/>
        </w:rPr>
        <w:t>all’</w:t>
      </w:r>
      <w:r w:rsidR="00D941F0" w:rsidRPr="00CD2580">
        <w:rPr>
          <w:rFonts w:ascii="Times New Roman" w:hAnsi="Times New Roman"/>
          <w:color w:val="000000"/>
          <w:sz w:val="20"/>
        </w:rPr>
        <w:t>A</w:t>
      </w:r>
      <w:r w:rsidRPr="00CD2580">
        <w:rPr>
          <w:rFonts w:ascii="Times New Roman" w:hAnsi="Times New Roman"/>
          <w:color w:val="000000"/>
          <w:sz w:val="20"/>
        </w:rPr>
        <w:t>llegato n. 1</w:t>
      </w:r>
      <w:r w:rsidRPr="00D941F0">
        <w:rPr>
          <w:rFonts w:ascii="Times New Roman" w:hAnsi="Times New Roman"/>
          <w:b/>
          <w:color w:val="000000"/>
          <w:sz w:val="20"/>
        </w:rPr>
        <w:t xml:space="preserve"> </w:t>
      </w:r>
      <w:r w:rsidRPr="00FB1545">
        <w:rPr>
          <w:rFonts w:ascii="Times New Roman" w:hAnsi="Times New Roman"/>
          <w:color w:val="000000"/>
          <w:sz w:val="20"/>
        </w:rPr>
        <w:t>della Determinazione dell’A.N.AC. n. 6/2015, sono le seguenti:</w:t>
      </w:r>
    </w:p>
    <w:p w14:paraId="3424215B" w14:textId="2C066974" w:rsidR="0060363B" w:rsidRDefault="0060363B" w:rsidP="00603F3F">
      <w:pPr>
        <w:widowControl w:val="0"/>
        <w:autoSpaceDE w:val="0"/>
        <w:autoSpaceDN w:val="0"/>
        <w:adjustRightInd w:val="0"/>
        <w:spacing w:after="0"/>
        <w:jc w:val="both"/>
        <w:rPr>
          <w:rFonts w:ascii="Times New Roman" w:hAnsi="Times New Roman"/>
          <w:color w:val="000000"/>
          <w:sz w:val="20"/>
        </w:rPr>
      </w:pPr>
    </w:p>
    <w:tbl>
      <w:tblPr>
        <w:tblStyle w:val="Grigliatabella"/>
        <w:tblW w:w="8789" w:type="dxa"/>
        <w:tblInd w:w="137" w:type="dxa"/>
        <w:shd w:val="clear" w:color="auto" w:fill="FBE4D5" w:themeFill="accent2" w:themeFillTint="33"/>
        <w:tblLook w:val="04A0" w:firstRow="1" w:lastRow="0" w:firstColumn="1" w:lastColumn="0" w:noHBand="0" w:noVBand="1"/>
      </w:tblPr>
      <w:tblGrid>
        <w:gridCol w:w="8789"/>
      </w:tblGrid>
      <w:tr w:rsidR="0060363B" w14:paraId="60033703" w14:textId="77777777" w:rsidTr="0060363B">
        <w:tc>
          <w:tcPr>
            <w:tcW w:w="8789" w:type="dxa"/>
            <w:shd w:val="clear" w:color="auto" w:fill="FBE4D5" w:themeFill="accent2" w:themeFillTint="33"/>
          </w:tcPr>
          <w:p w14:paraId="72786143" w14:textId="68B552D7" w:rsidR="00D941F0" w:rsidRPr="00D941F0" w:rsidRDefault="00D941F0" w:rsidP="007943C8">
            <w:pPr>
              <w:pStyle w:val="Default"/>
              <w:widowControl w:val="0"/>
              <w:jc w:val="both"/>
              <w:rPr>
                <w:rFonts w:ascii="Times New Roman" w:hAnsi="Times New Roman" w:cs="Times New Roman"/>
                <w:color w:val="auto"/>
                <w:sz w:val="18"/>
                <w:szCs w:val="18"/>
              </w:rPr>
            </w:pPr>
            <w:r w:rsidRPr="00D941F0">
              <w:rPr>
                <w:rFonts w:ascii="Times New Roman" w:hAnsi="Times New Roman" w:cs="Times New Roman"/>
                <w:color w:val="auto"/>
                <w:sz w:val="18"/>
                <w:szCs w:val="18"/>
              </w:rPr>
              <w:t xml:space="preserve">1) Il segnalante invia una segnalazione compilando l’apposito modulo predisposto dalla suddetta Autorità, disponibile e scaricabile sul sito istituzionale della società nella sezione “società Trasparente”, sotto-sezione “Altri contenuti-Corruzione”. </w:t>
            </w:r>
          </w:p>
          <w:p w14:paraId="0F384EBD" w14:textId="77777777" w:rsidR="00D941F0" w:rsidRPr="00D941F0" w:rsidRDefault="00D941F0" w:rsidP="00D941F0">
            <w:pPr>
              <w:pStyle w:val="Default"/>
              <w:widowControl w:val="0"/>
              <w:jc w:val="both"/>
              <w:rPr>
                <w:rFonts w:ascii="Times New Roman" w:hAnsi="Times New Roman" w:cs="Times New Roman"/>
                <w:color w:val="auto"/>
                <w:sz w:val="18"/>
                <w:szCs w:val="18"/>
              </w:rPr>
            </w:pPr>
            <w:r w:rsidRPr="00D941F0">
              <w:rPr>
                <w:rFonts w:ascii="Times New Roman" w:hAnsi="Times New Roman" w:cs="Times New Roman"/>
                <w:color w:val="auto"/>
                <w:sz w:val="18"/>
                <w:szCs w:val="18"/>
              </w:rPr>
              <w:t xml:space="preserve">Resta fermo che la segnalazione potrà essere presentata anche con dichiarazione diversa da quella prevista nel modulo, purché contenente gli elementi essenziali indicati in quest’ultimo. </w:t>
            </w:r>
          </w:p>
          <w:p w14:paraId="7E3164D3" w14:textId="77777777" w:rsidR="00D941F0" w:rsidRPr="00D941F0" w:rsidRDefault="00D941F0" w:rsidP="00D941F0">
            <w:pPr>
              <w:pStyle w:val="Default"/>
              <w:widowControl w:val="0"/>
              <w:jc w:val="both"/>
              <w:rPr>
                <w:rFonts w:ascii="Times New Roman" w:hAnsi="Times New Roman" w:cs="Times New Roman"/>
                <w:color w:val="auto"/>
                <w:sz w:val="18"/>
                <w:szCs w:val="18"/>
              </w:rPr>
            </w:pPr>
            <w:r w:rsidRPr="00D941F0">
              <w:rPr>
                <w:rFonts w:ascii="Times New Roman" w:hAnsi="Times New Roman" w:cs="Times New Roman"/>
                <w:color w:val="auto"/>
                <w:sz w:val="18"/>
                <w:szCs w:val="18"/>
              </w:rPr>
              <w:t xml:space="preserve">Le segnalazioni dovranno essere inviate all’indirizzo e-mail </w:t>
            </w:r>
            <w:r w:rsidRPr="00D941F0">
              <w:rPr>
                <w:rFonts w:ascii="Times New Roman" w:hAnsi="Times New Roman" w:cs="Times New Roman"/>
                <w:color w:val="4472C4"/>
                <w:sz w:val="18"/>
                <w:szCs w:val="18"/>
                <w:u w:val="single"/>
              </w:rPr>
              <w:t>whistleblowing@multiservizimarino.it</w:t>
            </w:r>
            <w:r w:rsidRPr="00D941F0">
              <w:rPr>
                <w:rFonts w:ascii="Times New Roman" w:hAnsi="Times New Roman" w:cs="Times New Roman"/>
                <w:color w:val="4472C4"/>
                <w:sz w:val="18"/>
                <w:szCs w:val="18"/>
              </w:rPr>
              <w:t xml:space="preserve"> </w:t>
            </w:r>
            <w:r w:rsidRPr="00D941F0">
              <w:rPr>
                <w:rFonts w:ascii="Times New Roman" w:hAnsi="Times New Roman" w:cs="Times New Roman"/>
                <w:color w:val="auto"/>
                <w:sz w:val="18"/>
                <w:szCs w:val="18"/>
              </w:rPr>
              <w:t xml:space="preserve">accessibile al solo RPCT e saranno oggetto di apposita protocollazione in un registro speciale riservato. Qualora dovesse essere usato un altro indirizzo e-mail, la segnalazione ricevuta da qualsiasi soggetto diverso dal RPCT deve essere tempestivamente inoltrata dal ricevente allo stesso RPCT. </w:t>
            </w:r>
          </w:p>
          <w:p w14:paraId="1A7D9D2B" w14:textId="1C736035" w:rsidR="0060363B" w:rsidRPr="00D941F0" w:rsidRDefault="00D941F0" w:rsidP="00D941F0">
            <w:pPr>
              <w:pStyle w:val="Default"/>
              <w:widowControl w:val="0"/>
              <w:jc w:val="both"/>
              <w:rPr>
                <w:rFonts w:ascii="Times New Roman" w:hAnsi="Times New Roman" w:cs="Times New Roman"/>
                <w:color w:val="auto"/>
                <w:sz w:val="20"/>
                <w:szCs w:val="20"/>
              </w:rPr>
            </w:pPr>
            <w:r w:rsidRPr="00D941F0">
              <w:rPr>
                <w:rFonts w:ascii="Times New Roman" w:hAnsi="Times New Roman" w:cs="Times New Roman"/>
                <w:color w:val="auto"/>
                <w:sz w:val="18"/>
                <w:szCs w:val="18"/>
              </w:rPr>
              <w:t xml:space="preserve">Nel caso in cui la segnalazione riguardi il RPCT e/o un dipendente facente parte del gruppo di lavoro che effettua le istruttorie, il dipendente potrà inviare la propria segnalazione all’A.N.AC. nelle modalità definite nel paragrafo 4.2 del testo </w:t>
            </w:r>
            <w:r w:rsidR="007943C8">
              <w:rPr>
                <w:rFonts w:ascii="Times New Roman" w:hAnsi="Times New Roman" w:cs="Times New Roman"/>
                <w:color w:val="auto"/>
                <w:sz w:val="18"/>
                <w:szCs w:val="18"/>
              </w:rPr>
              <w:t>della determinazione n. 6/2015</w:t>
            </w:r>
          </w:p>
        </w:tc>
      </w:tr>
      <w:tr w:rsidR="0060363B" w14:paraId="35BE6C7E" w14:textId="77777777" w:rsidTr="0060363B">
        <w:tc>
          <w:tcPr>
            <w:tcW w:w="8789" w:type="dxa"/>
            <w:shd w:val="clear" w:color="auto" w:fill="FBE4D5" w:themeFill="accent2" w:themeFillTint="33"/>
          </w:tcPr>
          <w:p w14:paraId="7662575C" w14:textId="4E16EB05" w:rsidR="0060363B" w:rsidRPr="007943C8" w:rsidRDefault="007943C8" w:rsidP="007943C8">
            <w:pPr>
              <w:pStyle w:val="Default"/>
              <w:widowControl w:val="0"/>
              <w:jc w:val="both"/>
              <w:rPr>
                <w:rFonts w:ascii="Times New Roman" w:hAnsi="Times New Roman" w:cs="Times New Roman"/>
                <w:color w:val="auto"/>
                <w:sz w:val="18"/>
                <w:szCs w:val="18"/>
              </w:rPr>
            </w:pPr>
            <w:r>
              <w:rPr>
                <w:rFonts w:ascii="Times New Roman" w:hAnsi="Times New Roman" w:cs="Times New Roman"/>
                <w:color w:val="auto"/>
                <w:sz w:val="18"/>
                <w:szCs w:val="18"/>
              </w:rPr>
              <w:t xml:space="preserve">2) </w:t>
            </w:r>
            <w:r w:rsidRPr="007943C8">
              <w:rPr>
                <w:rFonts w:ascii="Times New Roman" w:hAnsi="Times New Roman" w:cs="Times New Roman"/>
                <w:color w:val="auto"/>
                <w:sz w:val="18"/>
                <w:szCs w:val="18"/>
              </w:rPr>
              <w:t>Il RPCT prende in carico la segnalazione per una prima sommaria istruttoria avvalendosi della propria struttura. Se indispensabile, richiede chiarimenti al segnalante e/o a eventuali altri soggetti coinvolti nella segnalazione, con l’adoz</w:t>
            </w:r>
            <w:r>
              <w:rPr>
                <w:rFonts w:ascii="Times New Roman" w:hAnsi="Times New Roman" w:cs="Times New Roman"/>
                <w:color w:val="auto"/>
                <w:sz w:val="18"/>
                <w:szCs w:val="18"/>
              </w:rPr>
              <w:t>ione delle necessarie cautele</w:t>
            </w:r>
          </w:p>
        </w:tc>
      </w:tr>
      <w:tr w:rsidR="0060363B" w14:paraId="06DD1D06" w14:textId="77777777" w:rsidTr="0060363B">
        <w:tc>
          <w:tcPr>
            <w:tcW w:w="8789" w:type="dxa"/>
            <w:shd w:val="clear" w:color="auto" w:fill="FBE4D5" w:themeFill="accent2" w:themeFillTint="33"/>
          </w:tcPr>
          <w:p w14:paraId="6284F5D4" w14:textId="4058DAA6"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3) Il RPCT potrà assegnare le segnalazioni pervenute ad un gruppo di lavoro multidisciplinare ovvero al Responsabile dell’</w:t>
            </w:r>
            <w:r w:rsidRPr="007943C8">
              <w:rPr>
                <w:rFonts w:ascii="Times New Roman" w:hAnsi="Times New Roman" w:cs="Times New Roman"/>
                <w:i/>
                <w:color w:val="auto"/>
                <w:sz w:val="18"/>
                <w:szCs w:val="18"/>
              </w:rPr>
              <w:t xml:space="preserve">Internal Audit </w:t>
            </w:r>
            <w:r w:rsidRPr="007943C8">
              <w:rPr>
                <w:rFonts w:ascii="Times New Roman" w:hAnsi="Times New Roman" w:cs="Times New Roman"/>
                <w:color w:val="auto"/>
                <w:sz w:val="18"/>
                <w:szCs w:val="18"/>
              </w:rPr>
              <w:t>per gli approfondimenti/</w:t>
            </w:r>
            <w:r w:rsidRPr="007943C8">
              <w:rPr>
                <w:rFonts w:ascii="Times New Roman" w:hAnsi="Times New Roman" w:cs="Times New Roman"/>
                <w:i/>
                <w:color w:val="auto"/>
                <w:sz w:val="18"/>
                <w:szCs w:val="18"/>
              </w:rPr>
              <w:t>Audit</w:t>
            </w:r>
            <w:r w:rsidRPr="007943C8">
              <w:rPr>
                <w:rFonts w:ascii="Times New Roman" w:hAnsi="Times New Roman" w:cs="Times New Roman"/>
                <w:color w:val="auto"/>
                <w:sz w:val="18"/>
                <w:szCs w:val="18"/>
              </w:rPr>
              <w:t xml:space="preserve"> necessari. </w:t>
            </w:r>
          </w:p>
          <w:p w14:paraId="21D7BF07" w14:textId="77777777"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I componenti del gruppo di lavoro ovvero il Responsabile dell’</w:t>
            </w:r>
            <w:r w:rsidRPr="007943C8">
              <w:rPr>
                <w:rFonts w:ascii="Times New Roman" w:hAnsi="Times New Roman" w:cs="Times New Roman"/>
                <w:i/>
                <w:color w:val="auto"/>
                <w:sz w:val="18"/>
                <w:szCs w:val="18"/>
              </w:rPr>
              <w:t>Internal Audit</w:t>
            </w:r>
            <w:r w:rsidRPr="007943C8">
              <w:rPr>
                <w:rFonts w:ascii="Times New Roman" w:hAnsi="Times New Roman" w:cs="Times New Roman"/>
                <w:color w:val="auto"/>
                <w:sz w:val="18"/>
                <w:szCs w:val="18"/>
              </w:rPr>
              <w:t>,</w:t>
            </w:r>
            <w:r w:rsidRPr="007943C8">
              <w:rPr>
                <w:rFonts w:ascii="Times New Roman" w:hAnsi="Times New Roman" w:cs="Times New Roman"/>
                <w:i/>
                <w:color w:val="auto"/>
                <w:sz w:val="18"/>
                <w:szCs w:val="18"/>
              </w:rPr>
              <w:t xml:space="preserve"> </w:t>
            </w:r>
            <w:r w:rsidRPr="007943C8">
              <w:rPr>
                <w:rFonts w:ascii="Times New Roman" w:hAnsi="Times New Roman" w:cs="Times New Roman"/>
                <w:color w:val="auto"/>
                <w:sz w:val="18"/>
                <w:szCs w:val="18"/>
              </w:rPr>
              <w:t xml:space="preserve">soggetti agli stessi vincoli di riservatezza e alle stesse responsabilità del RPCT, dovranno operare nel rispetto di tutte le prescrizioni della presente procedura ovvero della normativa anche regolamentare vigente. </w:t>
            </w:r>
          </w:p>
          <w:p w14:paraId="6554F237" w14:textId="49AB9A74" w:rsidR="0060363B" w:rsidRPr="007943C8" w:rsidRDefault="007943C8" w:rsidP="007943C8">
            <w:pPr>
              <w:pStyle w:val="Default"/>
              <w:widowControl w:val="0"/>
              <w:jc w:val="both"/>
              <w:rPr>
                <w:rFonts w:ascii="Times New Roman" w:hAnsi="Times New Roman" w:cs="Times New Roman"/>
                <w:color w:val="auto"/>
                <w:sz w:val="20"/>
                <w:szCs w:val="20"/>
              </w:rPr>
            </w:pPr>
            <w:r w:rsidRPr="007943C8">
              <w:rPr>
                <w:rFonts w:ascii="Times New Roman" w:hAnsi="Times New Roman" w:cs="Times New Roman"/>
                <w:color w:val="auto"/>
                <w:sz w:val="18"/>
                <w:szCs w:val="18"/>
              </w:rPr>
              <w:t>Nel caso in cui le segnalazioni pervenute contengano ipotesi di violazione del MOG ex D. Lgs. 231/2001, saranno inviate anche all’Organismo di Vigilanza.</w:t>
            </w:r>
          </w:p>
        </w:tc>
      </w:tr>
      <w:tr w:rsidR="0060363B" w14:paraId="37392B11" w14:textId="77777777" w:rsidTr="0060363B">
        <w:tc>
          <w:tcPr>
            <w:tcW w:w="8789" w:type="dxa"/>
            <w:shd w:val="clear" w:color="auto" w:fill="FBE4D5" w:themeFill="accent2" w:themeFillTint="33"/>
          </w:tcPr>
          <w:p w14:paraId="7518C4E7" w14:textId="763D1CCD"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4) Il RPCT, sulla base di una valutazione dei fatti oggetto della segnalazione ovvero sulla base delle risultanze degli approfondimenti effettuati dai componenti del gruppo di lavoro ovvero dal Responsabile dell’</w:t>
            </w:r>
            <w:r w:rsidRPr="007943C8">
              <w:rPr>
                <w:rFonts w:ascii="Times New Roman" w:hAnsi="Times New Roman" w:cs="Times New Roman"/>
                <w:i/>
                <w:color w:val="auto"/>
                <w:sz w:val="18"/>
                <w:szCs w:val="18"/>
              </w:rPr>
              <w:t xml:space="preserve">Internal Audit </w:t>
            </w:r>
            <w:r w:rsidRPr="007943C8">
              <w:rPr>
                <w:rFonts w:ascii="Times New Roman" w:hAnsi="Times New Roman" w:cs="Times New Roman"/>
                <w:color w:val="auto"/>
                <w:sz w:val="18"/>
                <w:szCs w:val="18"/>
              </w:rPr>
              <w:t xml:space="preserve">può decidere, in caso di evidente e manifesta infondatezza, di archiviare la segnalazione. </w:t>
            </w:r>
          </w:p>
          <w:p w14:paraId="5246D5B7" w14:textId="2B85BB5B"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In caso contrario il RPCT valuta a chi inoltrare la segnalazione in relazione ai profili di illiceità riscontrati tra i seguenti soggetti: D</w:t>
            </w:r>
            <w:r w:rsidR="00FF2354">
              <w:rPr>
                <w:rFonts w:ascii="Times New Roman" w:hAnsi="Times New Roman" w:cs="Times New Roman"/>
                <w:color w:val="auto"/>
                <w:sz w:val="18"/>
                <w:szCs w:val="18"/>
              </w:rPr>
              <w:t>irettore</w:t>
            </w:r>
            <w:r w:rsidRPr="007943C8">
              <w:rPr>
                <w:rFonts w:ascii="Times New Roman" w:hAnsi="Times New Roman" w:cs="Times New Roman"/>
                <w:color w:val="auto"/>
                <w:sz w:val="18"/>
                <w:szCs w:val="18"/>
              </w:rPr>
              <w:t xml:space="preserve">/Responsabile della struttura cui è ascrivibile il fatto; </w:t>
            </w:r>
            <w:r w:rsidR="00C11473">
              <w:rPr>
                <w:rFonts w:ascii="Times New Roman" w:hAnsi="Times New Roman" w:cs="Times New Roman"/>
                <w:color w:val="auto"/>
                <w:sz w:val="18"/>
                <w:szCs w:val="18"/>
              </w:rPr>
              <w:t>Settore Amministrativo</w:t>
            </w:r>
            <w:r w:rsidRPr="007943C8">
              <w:rPr>
                <w:rFonts w:ascii="Times New Roman" w:hAnsi="Times New Roman" w:cs="Times New Roman"/>
                <w:color w:val="auto"/>
                <w:sz w:val="18"/>
                <w:szCs w:val="18"/>
              </w:rPr>
              <w:t xml:space="preserve">; Autorità giudiziaria; Corte dei conti; ANAC; Dipartimento della funzione pubblica. </w:t>
            </w:r>
          </w:p>
          <w:p w14:paraId="0281BACE" w14:textId="0CA38E04"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 xml:space="preserve">Nel caso di trasmissione a soggetti interni alla società (es. </w:t>
            </w:r>
            <w:r w:rsidR="00FF2354">
              <w:rPr>
                <w:rFonts w:ascii="Times New Roman" w:hAnsi="Times New Roman" w:cs="Times New Roman"/>
                <w:color w:val="auto"/>
                <w:sz w:val="18"/>
                <w:szCs w:val="18"/>
              </w:rPr>
              <w:t>Direttore</w:t>
            </w:r>
            <w:r w:rsidRPr="007943C8">
              <w:rPr>
                <w:rFonts w:ascii="Times New Roman" w:hAnsi="Times New Roman" w:cs="Times New Roman"/>
                <w:color w:val="auto"/>
                <w:sz w:val="18"/>
                <w:szCs w:val="18"/>
              </w:rPr>
              <w:t>/Responsabile della strut</w:t>
            </w:r>
            <w:r w:rsidR="00E922A9">
              <w:rPr>
                <w:rFonts w:ascii="Times New Roman" w:hAnsi="Times New Roman" w:cs="Times New Roman"/>
                <w:color w:val="auto"/>
                <w:sz w:val="18"/>
                <w:szCs w:val="18"/>
              </w:rPr>
              <w:t>tura cui è ascrivibile il fatto</w:t>
            </w:r>
            <w:r w:rsidRPr="007943C8">
              <w:rPr>
                <w:rFonts w:ascii="Times New Roman" w:hAnsi="Times New Roman" w:cs="Times New Roman"/>
                <w:color w:val="auto"/>
                <w:sz w:val="18"/>
                <w:szCs w:val="18"/>
              </w:rPr>
              <w:t xml:space="preserve">), il RPCT dovrà inoltrare solo il contenuto della segnalazione, eliminando tutti i riferimenti dai quali sia possibile risalire all’identità del segnalante. </w:t>
            </w:r>
            <w:r w:rsidR="00C11473" w:rsidRPr="00C11473">
              <w:rPr>
                <w:rFonts w:ascii="Times New Roman" w:hAnsi="Times New Roman" w:cs="Times New Roman"/>
                <w:color w:val="auto"/>
                <w:sz w:val="18"/>
                <w:szCs w:val="18"/>
              </w:rPr>
              <w:t>Il Settore Amministrativo</w:t>
            </w:r>
            <w:r w:rsidRPr="007943C8">
              <w:rPr>
                <w:rFonts w:ascii="Times New Roman" w:hAnsi="Times New Roman" w:cs="Times New Roman"/>
                <w:color w:val="auto"/>
                <w:sz w:val="18"/>
                <w:szCs w:val="18"/>
              </w:rPr>
              <w:t xml:space="preserve"> informa il RPCT dell’adozione di eventuali provvedimenti di propria competenza.</w:t>
            </w:r>
          </w:p>
          <w:p w14:paraId="6BAF1803" w14:textId="700B3E51" w:rsidR="0060363B"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Nel caso di trasmissione all’Autorità Giudiziaria, alla Corte dei Conti, all’A.N.AC. o al Dipartimento della funzione pubblica, la trasmissione dovrà avvenire avendo cura di evidenziare che si tratta di una segnalazione pervenuta da un soggetto cui l’ordinamento riconosce una tutela rafforzata della riservatezza ai sensi dell’art. 54 bis del D. Lgs. n. 165/01</w:t>
            </w:r>
            <w:r w:rsidRPr="007943C8">
              <w:rPr>
                <w:rStyle w:val="Rimandonotadichiusura"/>
                <w:rFonts w:ascii="Times New Roman" w:hAnsi="Times New Roman" w:cs="Times New Roman"/>
                <w:i/>
                <w:sz w:val="18"/>
                <w:szCs w:val="18"/>
              </w:rPr>
              <w:endnoteReference w:id="43"/>
            </w:r>
            <w:r w:rsidRPr="007943C8">
              <w:rPr>
                <w:rFonts w:ascii="Times New Roman" w:hAnsi="Times New Roman" w:cs="Times New Roman"/>
                <w:color w:val="auto"/>
                <w:sz w:val="18"/>
                <w:szCs w:val="18"/>
              </w:rPr>
              <w:t>.</w:t>
            </w:r>
          </w:p>
        </w:tc>
      </w:tr>
      <w:tr w:rsidR="0060363B" w14:paraId="5FCFAC16" w14:textId="77777777" w:rsidTr="0060363B">
        <w:tc>
          <w:tcPr>
            <w:tcW w:w="8789" w:type="dxa"/>
            <w:shd w:val="clear" w:color="auto" w:fill="FBE4D5" w:themeFill="accent2" w:themeFillTint="33"/>
          </w:tcPr>
          <w:p w14:paraId="27360E4F" w14:textId="3D400FFA" w:rsidR="0060363B"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5) La valutazione del RPCT dovrà concludersi entro il termine di 120 giorni dalla ricezione della segnalazione. Viceversa, i componenti del gruppo di lavoro ovvero il Responsabile dell’</w:t>
            </w:r>
            <w:r w:rsidRPr="007943C8">
              <w:rPr>
                <w:rFonts w:ascii="Times New Roman" w:hAnsi="Times New Roman" w:cs="Times New Roman"/>
                <w:i/>
                <w:color w:val="auto"/>
                <w:sz w:val="18"/>
                <w:szCs w:val="18"/>
              </w:rPr>
              <w:t>Internal Audit</w:t>
            </w:r>
            <w:r w:rsidRPr="007943C8">
              <w:rPr>
                <w:rFonts w:ascii="Times New Roman" w:hAnsi="Times New Roman" w:cs="Times New Roman"/>
                <w:color w:val="auto"/>
                <w:sz w:val="18"/>
                <w:szCs w:val="18"/>
              </w:rPr>
              <w:t xml:space="preserve"> eventualmente coinvolti dal RPCT dovranno effettuare le attività di verifica richieste entro 60 giorni dal ricevimento della richiesta per poi trasmettere gli esiti della stessa al RPCT.</w:t>
            </w:r>
          </w:p>
        </w:tc>
      </w:tr>
      <w:tr w:rsidR="0060363B" w14:paraId="39694DD2" w14:textId="77777777" w:rsidTr="0060363B">
        <w:tc>
          <w:tcPr>
            <w:tcW w:w="8789" w:type="dxa"/>
            <w:shd w:val="clear" w:color="auto" w:fill="FBE4D5" w:themeFill="accent2" w:themeFillTint="33"/>
          </w:tcPr>
          <w:p w14:paraId="3D09BB75" w14:textId="326D1E7C" w:rsidR="0060363B"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6) Il RPCT periodicamente riferisce all’Organismo di Vigilanza e all’</w:t>
            </w:r>
            <w:r w:rsidR="002A7570">
              <w:rPr>
                <w:rFonts w:ascii="Times New Roman" w:hAnsi="Times New Roman" w:cs="Times New Roman"/>
                <w:color w:val="auto"/>
                <w:sz w:val="18"/>
                <w:szCs w:val="18"/>
              </w:rPr>
              <w:t>Amministratore Unico</w:t>
            </w:r>
            <w:r w:rsidR="00DD71D2">
              <w:rPr>
                <w:rFonts w:ascii="Times New Roman" w:hAnsi="Times New Roman" w:cs="Times New Roman"/>
                <w:color w:val="auto"/>
                <w:sz w:val="18"/>
                <w:szCs w:val="18"/>
              </w:rPr>
              <w:t xml:space="preserve"> </w:t>
            </w:r>
            <w:r w:rsidRPr="007943C8">
              <w:rPr>
                <w:rFonts w:ascii="Times New Roman" w:hAnsi="Times New Roman" w:cs="Times New Roman"/>
                <w:color w:val="auto"/>
                <w:sz w:val="18"/>
                <w:szCs w:val="18"/>
              </w:rPr>
              <w:t>sul numero e sulla tipologia di segnalazioni ricevute e ne tiene conto al fine di aggiornare il PTPCT.</w:t>
            </w:r>
          </w:p>
        </w:tc>
      </w:tr>
      <w:tr w:rsidR="007943C8" w14:paraId="3E0480E7" w14:textId="77777777" w:rsidTr="0060363B">
        <w:tc>
          <w:tcPr>
            <w:tcW w:w="8789" w:type="dxa"/>
            <w:shd w:val="clear" w:color="auto" w:fill="FBE4D5" w:themeFill="accent2" w:themeFillTint="33"/>
          </w:tcPr>
          <w:p w14:paraId="59A585A2" w14:textId="77F0F4C7" w:rsidR="007943C8" w:rsidRPr="007943C8" w:rsidRDefault="007943C8" w:rsidP="007943C8">
            <w:pPr>
              <w:pStyle w:val="Default"/>
              <w:widowControl w:val="0"/>
              <w:jc w:val="both"/>
              <w:rPr>
                <w:rFonts w:ascii="Times New Roman" w:hAnsi="Times New Roman" w:cs="Times New Roman"/>
                <w:color w:val="auto"/>
                <w:sz w:val="18"/>
                <w:szCs w:val="18"/>
              </w:rPr>
            </w:pPr>
            <w:r w:rsidRPr="007943C8">
              <w:rPr>
                <w:rFonts w:ascii="Times New Roman" w:hAnsi="Times New Roman" w:cs="Times New Roman"/>
                <w:color w:val="auto"/>
                <w:sz w:val="18"/>
                <w:szCs w:val="18"/>
              </w:rPr>
              <w:t>7) I dati e i documenti oggetto della segnalazione vengono trattati e conservati nel rispetto della normativa in materia di protezione dei dati personali.</w:t>
            </w:r>
          </w:p>
        </w:tc>
      </w:tr>
    </w:tbl>
    <w:p w14:paraId="0D0850CC" w14:textId="77777777" w:rsidR="0060363B" w:rsidRDefault="0060363B" w:rsidP="00603F3F">
      <w:pPr>
        <w:widowControl w:val="0"/>
        <w:autoSpaceDE w:val="0"/>
        <w:autoSpaceDN w:val="0"/>
        <w:adjustRightInd w:val="0"/>
        <w:spacing w:after="0"/>
        <w:jc w:val="both"/>
        <w:rPr>
          <w:rFonts w:ascii="Times New Roman" w:hAnsi="Times New Roman"/>
          <w:color w:val="000000"/>
          <w:sz w:val="20"/>
        </w:rPr>
      </w:pPr>
    </w:p>
    <w:p w14:paraId="150E8436" w14:textId="42168CD9" w:rsidR="00603F3F" w:rsidRPr="00CD7FBE" w:rsidRDefault="00603F3F" w:rsidP="00603F3F">
      <w:pPr>
        <w:pStyle w:val="Default"/>
        <w:widowControl w:val="0"/>
        <w:spacing w:line="276" w:lineRule="auto"/>
        <w:jc w:val="both"/>
        <w:rPr>
          <w:rFonts w:ascii="Times New Roman" w:hAnsi="Times New Roman" w:cs="Times New Roman"/>
          <w:strike/>
          <w:sz w:val="20"/>
          <w:szCs w:val="20"/>
        </w:rPr>
      </w:pPr>
      <w:r w:rsidRPr="00CD7FBE">
        <w:rPr>
          <w:rFonts w:ascii="Times New Roman" w:hAnsi="Times New Roman" w:cs="Times New Roman"/>
          <w:sz w:val="20"/>
          <w:szCs w:val="20"/>
        </w:rPr>
        <w:t xml:space="preserve">Al fine di sensibilizzare i dipendenti, la </w:t>
      </w:r>
      <w:r>
        <w:rPr>
          <w:rFonts w:ascii="Times New Roman" w:hAnsi="Times New Roman" w:cs="Times New Roman"/>
          <w:sz w:val="20"/>
          <w:szCs w:val="20"/>
        </w:rPr>
        <w:t>società</w:t>
      </w:r>
      <w:r w:rsidRPr="00CD7FBE">
        <w:rPr>
          <w:rFonts w:ascii="Times New Roman" w:hAnsi="Times New Roman" w:cs="Times New Roman"/>
          <w:sz w:val="20"/>
          <w:szCs w:val="20"/>
        </w:rPr>
        <w:t xml:space="preserve"> pubblicherà sul proprio sito istituzionale e sul portale dipendenti la presente procedura al fine di dare la massima visibilità a tutto il personale.</w:t>
      </w:r>
    </w:p>
    <w:p w14:paraId="68F2D7E4"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13743888" w14:textId="2E1EF625"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Come previsto dall'art. 1, comma 51, della legge n. 190/2012</w:t>
      </w:r>
      <w:r w:rsidRPr="00CD7FBE">
        <w:rPr>
          <w:rStyle w:val="Rimandonotadichiusura"/>
          <w:rFonts w:ascii="Times New Roman" w:hAnsi="Times New Roman"/>
          <w:i/>
          <w:color w:val="000000"/>
          <w:sz w:val="20"/>
          <w:szCs w:val="20"/>
          <w:lang w:eastAsia="it-IT"/>
        </w:rPr>
        <w:endnoteReference w:id="44"/>
      </w:r>
      <w:r w:rsidRPr="00CD7FBE">
        <w:rPr>
          <w:rFonts w:ascii="Times New Roman" w:hAnsi="Times New Roman"/>
          <w:color w:val="000000"/>
          <w:sz w:val="20"/>
          <w:szCs w:val="20"/>
          <w:lang w:eastAsia="it-IT"/>
        </w:rPr>
        <w:t xml:space="preserve">,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si impegna ad adottare, sia nel caso vi siano episodi di corruzione sia in mancanza degli stessi, tutti i provvedimenti affinché l'identità del segnalante non sia rivelata. L’identità del segnalante deve essere protetta in ogni contesto successivo alla segnalazione. L'identità non può essere rivelata salvo i casi espressamente previsti dalle norme di legge. </w:t>
      </w:r>
    </w:p>
    <w:p w14:paraId="6CA96A2F" w14:textId="77777777" w:rsidR="00603F3F" w:rsidRPr="00CD7FBE" w:rsidRDefault="00603F3F" w:rsidP="00603F3F">
      <w:pPr>
        <w:widowControl w:val="0"/>
        <w:spacing w:after="0"/>
        <w:jc w:val="both"/>
        <w:rPr>
          <w:rFonts w:ascii="Times New Roman" w:hAnsi="Times New Roman"/>
          <w:color w:val="000000"/>
          <w:sz w:val="20"/>
          <w:szCs w:val="20"/>
          <w:lang w:eastAsia="it-IT"/>
        </w:rPr>
      </w:pPr>
    </w:p>
    <w:p w14:paraId="3A5B706E" w14:textId="198ADF0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In ogni caso, la violazione da parte dei dipendenti delle misure di prevenzione previste dal piano costituisce illecito disciplinare secondo quanto previsto dall’art. 1, comma 14, della L. 190/2012</w:t>
      </w:r>
      <w:r w:rsidRPr="00CD7FBE">
        <w:rPr>
          <w:rStyle w:val="Rimandonotadichiusura"/>
          <w:rFonts w:ascii="Times New Roman" w:hAnsi="Times New Roman"/>
          <w:i/>
          <w:color w:val="000000"/>
          <w:sz w:val="20"/>
          <w:szCs w:val="20"/>
          <w:lang w:eastAsia="it-IT"/>
        </w:rPr>
        <w:endnoteReference w:id="45"/>
      </w:r>
      <w:r w:rsidRPr="00CD7FBE">
        <w:rPr>
          <w:rFonts w:ascii="Times New Roman" w:hAnsi="Times New Roman"/>
          <w:color w:val="000000"/>
          <w:sz w:val="20"/>
          <w:szCs w:val="20"/>
          <w:lang w:eastAsia="it-IT"/>
        </w:rPr>
        <w:t>.</w:t>
      </w:r>
    </w:p>
    <w:p w14:paraId="7A221E24" w14:textId="12449F99"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sz w:val="20"/>
          <w:szCs w:val="20"/>
          <w:lang w:eastAsia="it-IT"/>
        </w:rPr>
        <w:t xml:space="preserve">Al fine di rendere tale misura fattibile e fruibile dai dipendenti, sono resi disponibili all’interno della sede legale (in due punti: reception II piano, scala C, e sala attesa IV piano, scala C, identificati in modo tale da garantire l’anonimato), delle cassette all’interno delle quali inserire le eventuali segnalazioni; la chiave di dette cassette sarà conservata esclusivamente dal </w:t>
      </w:r>
      <w:r>
        <w:rPr>
          <w:rFonts w:ascii="Times New Roman" w:hAnsi="Times New Roman"/>
          <w:color w:val="000000"/>
          <w:sz w:val="20"/>
          <w:szCs w:val="20"/>
          <w:lang w:eastAsia="it-IT"/>
        </w:rPr>
        <w:t>RPCT</w:t>
      </w:r>
      <w:r w:rsidRPr="00CD7FBE">
        <w:rPr>
          <w:rFonts w:ascii="Times New Roman" w:hAnsi="Times New Roman"/>
          <w:sz w:val="20"/>
          <w:szCs w:val="20"/>
          <w:lang w:eastAsia="it-IT"/>
        </w:rPr>
        <w:t xml:space="preserve"> che vi accederà ogni settimana. Le segnalazioni potranno essere inviate ai seguenti indirizzi:</w:t>
      </w:r>
    </w:p>
    <w:p w14:paraId="09EB47C3" w14:textId="38ED8934" w:rsidR="00603F3F" w:rsidRPr="00CD7FBE" w:rsidRDefault="00483705" w:rsidP="00603F3F">
      <w:pPr>
        <w:pStyle w:val="Paragrafoelenco"/>
        <w:widowControl w:val="0"/>
        <w:numPr>
          <w:ilvl w:val="0"/>
          <w:numId w:val="1"/>
        </w:numPr>
        <w:tabs>
          <w:tab w:val="clear" w:pos="720"/>
        </w:tabs>
        <w:spacing w:after="0" w:line="276" w:lineRule="auto"/>
        <w:ind w:left="284" w:hanging="284"/>
        <w:contextualSpacing w:val="0"/>
        <w:jc w:val="both"/>
        <w:rPr>
          <w:rFonts w:ascii="Times New Roman" w:hAnsi="Times New Roman"/>
          <w:sz w:val="20"/>
          <w:szCs w:val="20"/>
          <w:lang w:eastAsia="it-IT"/>
        </w:rPr>
      </w:pPr>
      <w:hyperlink r:id="rId16" w:history="1">
        <w:r w:rsidR="00531BD0" w:rsidRPr="009F6EC7">
          <w:rPr>
            <w:rStyle w:val="Collegamentoipertestuale"/>
            <w:rFonts w:ascii="Times New Roman" w:hAnsi="Times New Roman"/>
            <w:sz w:val="20"/>
            <w:szCs w:val="20"/>
          </w:rPr>
          <w:t>whistleblowing@multiservizimarino.it</w:t>
        </w:r>
      </w:hyperlink>
      <w:r w:rsidR="00603F3F">
        <w:rPr>
          <w:rFonts w:ascii="Times New Roman" w:hAnsi="Times New Roman"/>
          <w:sz w:val="20"/>
          <w:szCs w:val="20"/>
        </w:rPr>
        <w:t xml:space="preserve"> </w:t>
      </w:r>
    </w:p>
    <w:p w14:paraId="29F15F8C" w14:textId="77777777" w:rsidR="00603F3F" w:rsidRPr="00D23CF5" w:rsidRDefault="00603F3F" w:rsidP="00603F3F">
      <w:pPr>
        <w:widowControl w:val="0"/>
        <w:spacing w:after="0"/>
        <w:jc w:val="both"/>
        <w:rPr>
          <w:rFonts w:ascii="Times New Roman" w:hAnsi="Times New Roman"/>
          <w:color w:val="0E0C0C"/>
          <w:sz w:val="20"/>
          <w:szCs w:val="20"/>
          <w:shd w:val="clear" w:color="auto" w:fill="FFFFFF"/>
        </w:rPr>
      </w:pPr>
    </w:p>
    <w:p w14:paraId="7A2F3222" w14:textId="77777777" w:rsidR="00603F3F" w:rsidRPr="00531BD0" w:rsidRDefault="00603F3F" w:rsidP="00603F3F">
      <w:pPr>
        <w:pStyle w:val="Titolo2"/>
        <w:keepNext w:val="0"/>
        <w:spacing w:line="276" w:lineRule="auto"/>
        <w:ind w:left="426" w:hanging="426"/>
        <w:rPr>
          <w:color w:val="0070C0"/>
        </w:rPr>
      </w:pPr>
      <w:bookmarkStart w:id="585" w:name="_Toc410231342"/>
      <w:bookmarkStart w:id="586" w:name="_Toc410231659"/>
      <w:bookmarkStart w:id="587" w:name="_Toc410232843"/>
      <w:bookmarkStart w:id="588" w:name="_Toc418505934"/>
      <w:bookmarkStart w:id="589" w:name="_Toc454796230"/>
      <w:bookmarkStart w:id="590" w:name="_Toc454796292"/>
      <w:bookmarkStart w:id="591" w:name="_Toc535854442"/>
      <w:r w:rsidRPr="00531BD0">
        <w:rPr>
          <w:color w:val="0070C0"/>
        </w:rPr>
        <w:t>Il sistema delle sanzioni</w:t>
      </w:r>
      <w:bookmarkEnd w:id="585"/>
      <w:bookmarkEnd w:id="586"/>
      <w:bookmarkEnd w:id="587"/>
      <w:bookmarkEnd w:id="588"/>
      <w:bookmarkEnd w:id="589"/>
      <w:bookmarkEnd w:id="590"/>
      <w:bookmarkEnd w:id="591"/>
      <w:r w:rsidRPr="00531BD0">
        <w:rPr>
          <w:color w:val="0070C0"/>
        </w:rPr>
        <w:t xml:space="preserve"> </w:t>
      </w:r>
    </w:p>
    <w:p w14:paraId="2A9AB2E0" w14:textId="31AE3098" w:rsidR="00603F3F" w:rsidRPr="00CD7FBE" w:rsidRDefault="00603F3F" w:rsidP="00603F3F">
      <w:pPr>
        <w:widowControl w:val="0"/>
        <w:spacing w:after="0"/>
        <w:jc w:val="both"/>
        <w:rPr>
          <w:rFonts w:ascii="Times New Roman" w:hAnsi="Times New Roman"/>
          <w:color w:val="0E0C0C"/>
          <w:sz w:val="20"/>
          <w:szCs w:val="20"/>
          <w:shd w:val="clear" w:color="auto" w:fill="FFFFFF"/>
        </w:rPr>
      </w:pPr>
      <w:r w:rsidRPr="00CD7FBE">
        <w:rPr>
          <w:rFonts w:ascii="Times New Roman" w:hAnsi="Times New Roman"/>
          <w:color w:val="0E0C0C"/>
          <w:sz w:val="20"/>
          <w:szCs w:val="20"/>
          <w:shd w:val="clear" w:color="auto" w:fill="FFFFFF"/>
        </w:rPr>
        <w:t>Come indicato nella delibera A.N.AC. n. 66/2013, ciascun</w:t>
      </w:r>
      <w:r>
        <w:rPr>
          <w:rFonts w:ascii="Times New Roman" w:hAnsi="Times New Roman"/>
          <w:color w:val="0E0C0C"/>
          <w:sz w:val="20"/>
          <w:szCs w:val="20"/>
          <w:shd w:val="clear" w:color="auto" w:fill="FFFFFF"/>
        </w:rPr>
        <w:t xml:space="preserve"> Ente</w:t>
      </w:r>
      <w:r w:rsidRPr="00CD7FBE">
        <w:rPr>
          <w:rFonts w:ascii="Times New Roman" w:hAnsi="Times New Roman"/>
          <w:color w:val="0E0C0C"/>
          <w:sz w:val="20"/>
          <w:szCs w:val="20"/>
          <w:shd w:val="clear" w:color="auto" w:fill="FFFFFF"/>
        </w:rPr>
        <w:t xml:space="preserve">, in regime di autonomia e tenuto conto della propria specificità organizzativa, provvede a disciplinare con proprio codice e/o regolamento il procedimento sanzionatorio, ripartendo tra i propri uffici le competenze, in conformità ad alcuni principi di base posti dalla legge n. 689/1981, oltre che al CCNL di riferimento. </w:t>
      </w:r>
      <w:r w:rsidRPr="005B2CD3">
        <w:rPr>
          <w:rFonts w:ascii="Times New Roman" w:hAnsi="Times New Roman"/>
          <w:color w:val="0E0C0C"/>
          <w:sz w:val="20"/>
          <w:szCs w:val="20"/>
          <w:shd w:val="clear" w:color="auto" w:fill="FFFFFF"/>
        </w:rPr>
        <w:t>Tra i più importanti, quelli sui criteri di applicazione delle sanzioni (art.11</w:t>
      </w:r>
      <w:r w:rsidRPr="005B2CD3">
        <w:rPr>
          <w:rStyle w:val="Rimandonotadichiusura"/>
          <w:rFonts w:ascii="Times New Roman" w:hAnsi="Times New Roman"/>
          <w:color w:val="0E0C0C"/>
          <w:sz w:val="20"/>
          <w:szCs w:val="20"/>
          <w:shd w:val="clear" w:color="auto" w:fill="FFFFFF"/>
        </w:rPr>
        <w:endnoteReference w:id="46"/>
      </w:r>
      <w:r w:rsidRPr="005B2CD3">
        <w:rPr>
          <w:rFonts w:ascii="Times New Roman" w:hAnsi="Times New Roman"/>
          <w:color w:val="0E0C0C"/>
          <w:sz w:val="20"/>
          <w:szCs w:val="20"/>
          <w:shd w:val="clear" w:color="auto" w:fill="FFFFFF"/>
        </w:rPr>
        <w:t>); quello del contraddittorio con l’interessato (art.14</w:t>
      </w:r>
      <w:r w:rsidRPr="005B2CD3">
        <w:rPr>
          <w:rStyle w:val="Rimandonotadichiusura"/>
          <w:rFonts w:ascii="Times New Roman" w:hAnsi="Times New Roman"/>
          <w:color w:val="0E0C0C"/>
          <w:sz w:val="20"/>
          <w:szCs w:val="20"/>
          <w:shd w:val="clear" w:color="auto" w:fill="FFFFFF"/>
        </w:rPr>
        <w:endnoteReference w:id="47"/>
      </w:r>
      <w:r w:rsidRPr="005B2CD3">
        <w:rPr>
          <w:rFonts w:ascii="Times New Roman" w:hAnsi="Times New Roman"/>
          <w:color w:val="0E0C0C"/>
          <w:sz w:val="20"/>
          <w:szCs w:val="20"/>
          <w:shd w:val="clear" w:color="auto" w:fill="FFFFFF"/>
        </w:rPr>
        <w:t>); quello della separazione funzionale tra l’ufficio che compie l’istruttoria e quello al quale compete la decisione sulla sanzione (art.17-18)</w:t>
      </w:r>
      <w:r w:rsidRPr="005B2CD3">
        <w:rPr>
          <w:rStyle w:val="Rimandonotadichiusura"/>
          <w:rFonts w:ascii="Times New Roman" w:hAnsi="Times New Roman"/>
          <w:color w:val="0E0C0C"/>
          <w:sz w:val="20"/>
          <w:szCs w:val="20"/>
          <w:shd w:val="clear" w:color="auto" w:fill="FFFFFF"/>
        </w:rPr>
        <w:t xml:space="preserve"> </w:t>
      </w:r>
      <w:r w:rsidRPr="005B2CD3">
        <w:rPr>
          <w:rStyle w:val="Rimandonotadichiusura"/>
          <w:rFonts w:ascii="Times New Roman" w:hAnsi="Times New Roman"/>
          <w:color w:val="0E0C0C"/>
          <w:sz w:val="20"/>
          <w:szCs w:val="20"/>
          <w:shd w:val="clear" w:color="auto" w:fill="FFFFFF"/>
        </w:rPr>
        <w:endnoteReference w:id="48"/>
      </w:r>
      <w:r w:rsidRPr="005B2CD3">
        <w:rPr>
          <w:rFonts w:ascii="Times New Roman" w:hAnsi="Times New Roman"/>
          <w:color w:val="0E0C0C"/>
          <w:sz w:val="20"/>
          <w:szCs w:val="20"/>
          <w:shd w:val="clear" w:color="auto" w:fill="FFFFFF"/>
        </w:rPr>
        <w:t>. In particolare provvede all’individuazione del responsabile per l’irrogazione delle sanzioni, nel rispetto del principio previsto dagli artt. 17 e 18</w:t>
      </w:r>
      <w:r w:rsidRPr="005B2CD3">
        <w:rPr>
          <w:rStyle w:val="Rimandonotadichiusura"/>
          <w:rFonts w:ascii="Times New Roman" w:hAnsi="Times New Roman"/>
          <w:color w:val="0E0C0C"/>
          <w:sz w:val="20"/>
          <w:szCs w:val="20"/>
          <w:shd w:val="clear" w:color="auto" w:fill="FFFFFF"/>
        </w:rPr>
        <w:endnoteReference w:id="49"/>
      </w:r>
      <w:r w:rsidRPr="005B2CD3">
        <w:rPr>
          <w:rFonts w:ascii="Times New Roman" w:hAnsi="Times New Roman"/>
          <w:color w:val="0E0C0C"/>
          <w:sz w:val="20"/>
          <w:szCs w:val="20"/>
          <w:shd w:val="clear" w:color="auto" w:fill="FFFFFF"/>
        </w:rPr>
        <w:t xml:space="preserve"> della legge n. 689/1981.</w:t>
      </w:r>
      <w:r w:rsidRPr="00CD7FBE">
        <w:rPr>
          <w:rFonts w:ascii="Times New Roman" w:hAnsi="Times New Roman"/>
          <w:color w:val="0E0C0C"/>
          <w:sz w:val="20"/>
          <w:szCs w:val="20"/>
          <w:shd w:val="clear" w:color="auto" w:fill="FFFFFF"/>
        </w:rPr>
        <w:t xml:space="preserve"> </w:t>
      </w:r>
    </w:p>
    <w:p w14:paraId="0BCCF5F9" w14:textId="77777777" w:rsidR="00603F3F" w:rsidRPr="00CD7FBE" w:rsidRDefault="00603F3F" w:rsidP="00603F3F">
      <w:pPr>
        <w:widowControl w:val="0"/>
        <w:spacing w:after="0"/>
        <w:jc w:val="both"/>
        <w:rPr>
          <w:rFonts w:ascii="Times New Roman" w:hAnsi="Times New Roman"/>
          <w:color w:val="0E0C0C"/>
          <w:sz w:val="20"/>
          <w:szCs w:val="20"/>
          <w:shd w:val="clear" w:color="auto" w:fill="FFFFFF"/>
        </w:rPr>
      </w:pPr>
    </w:p>
    <w:p w14:paraId="48DA53A7" w14:textId="58C4ACAF" w:rsidR="00603F3F" w:rsidRPr="00CD7FBE" w:rsidRDefault="00603F3F" w:rsidP="00603F3F">
      <w:pPr>
        <w:widowControl w:val="0"/>
        <w:spacing w:after="0"/>
        <w:jc w:val="both"/>
        <w:rPr>
          <w:rFonts w:ascii="Times New Roman" w:hAnsi="Times New Roman"/>
          <w:color w:val="0E0C0C"/>
          <w:sz w:val="20"/>
          <w:szCs w:val="20"/>
          <w:shd w:val="clear" w:color="auto" w:fill="FFFFFF"/>
        </w:rPr>
      </w:pPr>
      <w:r>
        <w:rPr>
          <w:rFonts w:ascii="Times New Roman" w:hAnsi="Times New Roman"/>
          <w:color w:val="0E0C0C"/>
          <w:sz w:val="20"/>
          <w:szCs w:val="20"/>
          <w:shd w:val="clear" w:color="auto" w:fill="FFFFFF"/>
        </w:rPr>
        <w:t>S</w:t>
      </w:r>
      <w:r w:rsidRPr="00CD7FBE">
        <w:rPr>
          <w:rFonts w:ascii="Times New Roman" w:hAnsi="Times New Roman"/>
          <w:color w:val="0E0C0C"/>
          <w:sz w:val="20"/>
          <w:szCs w:val="20"/>
          <w:shd w:val="clear" w:color="auto" w:fill="FFFFFF"/>
        </w:rPr>
        <w:t xml:space="preserve">i è provveduto ad adottare il Codice sanzionatorio, parte integrante del più generale MOG </w:t>
      </w:r>
      <w:r w:rsidRPr="00E0441E">
        <w:rPr>
          <w:rFonts w:ascii="Times New Roman" w:hAnsi="Times New Roman"/>
          <w:color w:val="0E0C0C"/>
          <w:sz w:val="20"/>
          <w:szCs w:val="20"/>
          <w:shd w:val="clear" w:color="auto" w:fill="FFFFFF"/>
        </w:rPr>
        <w:t>(</w:t>
      </w:r>
      <w:r w:rsidRPr="00E0441E">
        <w:rPr>
          <w:rFonts w:ascii="Times New Roman" w:hAnsi="Times New Roman"/>
          <w:b/>
          <w:color w:val="0E0C0C"/>
          <w:sz w:val="20"/>
          <w:szCs w:val="20"/>
          <w:shd w:val="clear" w:color="auto" w:fill="FFFFFF"/>
        </w:rPr>
        <w:t xml:space="preserve">del quale ne </w:t>
      </w:r>
      <w:r w:rsidRPr="00DD71D2">
        <w:rPr>
          <w:rFonts w:ascii="Times New Roman" w:hAnsi="Times New Roman"/>
          <w:b/>
          <w:color w:val="0E0C0C"/>
          <w:sz w:val="20"/>
          <w:szCs w:val="20"/>
          <w:shd w:val="clear" w:color="auto" w:fill="FFFFFF"/>
        </w:rPr>
        <w:t xml:space="preserve">costituisce l’Allegato n. 2 - </w:t>
      </w:r>
      <w:r w:rsidRPr="00DD71D2">
        <w:rPr>
          <w:rFonts w:ascii="Times New Roman" w:hAnsi="Times New Roman"/>
          <w:b/>
          <w:sz w:val="20"/>
          <w:szCs w:val="20"/>
          <w:shd w:val="clear" w:color="auto" w:fill="FFFFFF"/>
        </w:rPr>
        <w:t>Sezione terza</w:t>
      </w:r>
      <w:r w:rsidRPr="00DD71D2">
        <w:rPr>
          <w:rFonts w:ascii="Times New Roman" w:hAnsi="Times New Roman"/>
          <w:sz w:val="20"/>
          <w:szCs w:val="20"/>
          <w:shd w:val="clear" w:color="auto" w:fill="FFFFFF"/>
        </w:rPr>
        <w:t>).</w:t>
      </w:r>
      <w:r w:rsidRPr="00E0441E">
        <w:rPr>
          <w:rFonts w:ascii="Times New Roman" w:hAnsi="Times New Roman"/>
          <w:sz w:val="20"/>
          <w:szCs w:val="20"/>
          <w:shd w:val="clear" w:color="auto" w:fill="FFFFFF"/>
        </w:rPr>
        <w:t xml:space="preserve"> </w:t>
      </w:r>
      <w:r w:rsidRPr="00E0441E">
        <w:rPr>
          <w:rFonts w:ascii="Times New Roman" w:hAnsi="Times New Roman"/>
          <w:color w:val="0E0C0C"/>
          <w:sz w:val="20"/>
          <w:szCs w:val="20"/>
          <w:shd w:val="clear" w:color="auto" w:fill="FFFFFF"/>
        </w:rPr>
        <w:t xml:space="preserve">In tale sede è stato stabilito che </w:t>
      </w:r>
      <w:r w:rsidRPr="00E0441E">
        <w:rPr>
          <w:rFonts w:ascii="Times New Roman" w:hAnsi="Times New Roman"/>
          <w:sz w:val="20"/>
          <w:szCs w:val="20"/>
          <w:shd w:val="clear" w:color="auto" w:fill="FFFFFF"/>
        </w:rPr>
        <w:t xml:space="preserve">il soggetto competente ad avviare il procedimento sanzionatorio e ad </w:t>
      </w:r>
      <w:r w:rsidRPr="00E0441E">
        <w:rPr>
          <w:rFonts w:ascii="Times New Roman" w:hAnsi="Times New Roman"/>
          <w:color w:val="0E0C0C"/>
          <w:sz w:val="20"/>
          <w:szCs w:val="20"/>
          <w:shd w:val="clear" w:color="auto" w:fill="FFFFFF"/>
        </w:rPr>
        <w:t xml:space="preserve">effettuare l’istruttoria è </w:t>
      </w:r>
      <w:r w:rsidR="005B2CD3" w:rsidRPr="00E0441E">
        <w:rPr>
          <w:rFonts w:ascii="Times New Roman" w:hAnsi="Times New Roman"/>
          <w:color w:val="0E0C0C"/>
          <w:sz w:val="20"/>
          <w:szCs w:val="20"/>
          <w:shd w:val="clear" w:color="auto" w:fill="FFFFFF"/>
        </w:rPr>
        <w:t>il Settore Amministrativo</w:t>
      </w:r>
      <w:r w:rsidRPr="00E0441E">
        <w:rPr>
          <w:rFonts w:ascii="Times New Roman" w:hAnsi="Times New Roman"/>
          <w:color w:val="0E0C0C"/>
          <w:sz w:val="20"/>
          <w:szCs w:val="20"/>
          <w:shd w:val="clear" w:color="auto" w:fill="FFFFFF"/>
        </w:rPr>
        <w:t xml:space="preserve"> mentre il soggetto competente ad erogare le sanzioni è l’</w:t>
      </w:r>
      <w:r w:rsidR="00531BD0" w:rsidRPr="00E0441E">
        <w:rPr>
          <w:rFonts w:ascii="Times New Roman" w:hAnsi="Times New Roman"/>
          <w:color w:val="0E0C0C"/>
          <w:sz w:val="20"/>
          <w:szCs w:val="20"/>
          <w:shd w:val="clear" w:color="auto" w:fill="FFFFFF"/>
        </w:rPr>
        <w:t>Amministratore Unico/Direttore Generale</w:t>
      </w:r>
      <w:r w:rsidRPr="00E0441E">
        <w:rPr>
          <w:rFonts w:ascii="Times New Roman" w:hAnsi="Times New Roman"/>
          <w:color w:val="0E0C0C"/>
          <w:sz w:val="20"/>
          <w:szCs w:val="20"/>
          <w:shd w:val="clear" w:color="auto" w:fill="FFFFFF"/>
        </w:rPr>
        <w:t>.</w:t>
      </w:r>
      <w:r w:rsidRPr="00CD7FBE">
        <w:rPr>
          <w:rFonts w:ascii="Times New Roman" w:hAnsi="Times New Roman"/>
          <w:color w:val="0E0C0C"/>
          <w:sz w:val="20"/>
          <w:szCs w:val="20"/>
          <w:shd w:val="clear" w:color="auto" w:fill="FFFFFF"/>
        </w:rPr>
        <w:t xml:space="preserve"> </w:t>
      </w:r>
    </w:p>
    <w:p w14:paraId="7AC7F91E" w14:textId="77777777" w:rsidR="00603F3F" w:rsidRPr="00CD7FBE" w:rsidRDefault="00603F3F" w:rsidP="00603F3F">
      <w:pPr>
        <w:widowControl w:val="0"/>
        <w:spacing w:after="0"/>
        <w:jc w:val="both"/>
        <w:rPr>
          <w:rFonts w:ascii="Times New Roman" w:hAnsi="Times New Roman"/>
          <w:color w:val="0E0C0C"/>
          <w:sz w:val="20"/>
          <w:szCs w:val="20"/>
          <w:shd w:val="clear" w:color="auto" w:fill="FFFFFF"/>
        </w:rPr>
      </w:pPr>
    </w:p>
    <w:p w14:paraId="64ACF0BA" w14:textId="7389C14F" w:rsidR="00603F3F" w:rsidRPr="00C45964" w:rsidRDefault="005B2CD3" w:rsidP="00603F3F">
      <w:pPr>
        <w:widowControl w:val="0"/>
        <w:spacing w:after="0"/>
        <w:jc w:val="both"/>
        <w:rPr>
          <w:rFonts w:ascii="Times New Roman" w:hAnsi="Times New Roman"/>
          <w:b/>
          <w:sz w:val="20"/>
          <w:szCs w:val="20"/>
          <w:shd w:val="clear" w:color="auto" w:fill="FFFFFF"/>
        </w:rPr>
      </w:pPr>
      <w:r w:rsidRPr="00E0441E">
        <w:rPr>
          <w:rFonts w:ascii="Times New Roman" w:hAnsi="Times New Roman"/>
          <w:b/>
          <w:sz w:val="20"/>
          <w:szCs w:val="20"/>
          <w:shd w:val="clear" w:color="auto" w:fill="FFFFFF"/>
        </w:rPr>
        <w:t>Il Responsabile del settore Amministrativo</w:t>
      </w:r>
      <w:r w:rsidR="00603F3F" w:rsidRPr="00E0441E">
        <w:rPr>
          <w:rFonts w:ascii="Times New Roman" w:hAnsi="Times New Roman"/>
          <w:b/>
          <w:sz w:val="20"/>
          <w:szCs w:val="20"/>
          <w:shd w:val="clear" w:color="auto" w:fill="FFFFFF"/>
        </w:rPr>
        <w:t xml:space="preserve"> è tenuto a trasmettere al </w:t>
      </w:r>
      <w:r w:rsidR="00603F3F" w:rsidRPr="00E0441E">
        <w:rPr>
          <w:rFonts w:ascii="Times New Roman" w:hAnsi="Times New Roman"/>
          <w:b/>
          <w:color w:val="000000"/>
          <w:sz w:val="20"/>
          <w:szCs w:val="20"/>
          <w:lang w:eastAsia="it-IT"/>
        </w:rPr>
        <w:t>RPCT</w:t>
      </w:r>
      <w:r w:rsidR="00603F3F" w:rsidRPr="00E0441E">
        <w:rPr>
          <w:rFonts w:ascii="Times New Roman" w:hAnsi="Times New Roman"/>
          <w:b/>
          <w:sz w:val="20"/>
          <w:szCs w:val="20"/>
          <w:shd w:val="clear" w:color="auto" w:fill="FFFFFF"/>
        </w:rPr>
        <w:t>, entro il 15 novembre di ogni anno:</w:t>
      </w:r>
    </w:p>
    <w:p w14:paraId="599C0116" w14:textId="77777777" w:rsidR="00603F3F" w:rsidRPr="00DD71D2" w:rsidRDefault="00603F3F" w:rsidP="003E3269">
      <w:pPr>
        <w:pStyle w:val="Paragrafoelenco"/>
        <w:widowControl w:val="0"/>
        <w:numPr>
          <w:ilvl w:val="0"/>
          <w:numId w:val="37"/>
        </w:numPr>
        <w:spacing w:after="0" w:line="276" w:lineRule="auto"/>
        <w:ind w:left="284" w:hanging="284"/>
        <w:jc w:val="both"/>
        <w:rPr>
          <w:rFonts w:ascii="Times New Roman" w:hAnsi="Times New Roman"/>
          <w:i/>
          <w:sz w:val="20"/>
          <w:szCs w:val="20"/>
          <w:shd w:val="clear" w:color="auto" w:fill="FFFFFF"/>
        </w:rPr>
      </w:pPr>
      <w:r w:rsidRPr="00DD71D2">
        <w:rPr>
          <w:rFonts w:ascii="Times New Roman" w:hAnsi="Times New Roman"/>
          <w:i/>
          <w:sz w:val="20"/>
          <w:szCs w:val="20"/>
          <w:shd w:val="clear" w:color="auto" w:fill="FFFFFF"/>
        </w:rPr>
        <w:t>i dati aggregati relativi alle infrazioni registrate, ai fini del monitoraggio annuale;</w:t>
      </w:r>
    </w:p>
    <w:p w14:paraId="50E289F3" w14:textId="77777777" w:rsidR="00603F3F" w:rsidRPr="00DD71D2" w:rsidRDefault="00603F3F" w:rsidP="003E3269">
      <w:pPr>
        <w:pStyle w:val="Paragrafoelenco"/>
        <w:widowControl w:val="0"/>
        <w:numPr>
          <w:ilvl w:val="0"/>
          <w:numId w:val="37"/>
        </w:numPr>
        <w:spacing w:after="0" w:line="276" w:lineRule="auto"/>
        <w:ind w:left="284" w:hanging="284"/>
        <w:jc w:val="both"/>
        <w:rPr>
          <w:rFonts w:ascii="Times New Roman" w:hAnsi="Times New Roman"/>
          <w:i/>
          <w:sz w:val="20"/>
          <w:szCs w:val="20"/>
          <w:shd w:val="clear" w:color="auto" w:fill="FFFFFF"/>
        </w:rPr>
      </w:pPr>
      <w:r w:rsidRPr="00DD71D2">
        <w:rPr>
          <w:rFonts w:ascii="Times New Roman" w:hAnsi="Times New Roman"/>
          <w:i/>
          <w:sz w:val="20"/>
          <w:szCs w:val="20"/>
          <w:shd w:val="clear" w:color="auto" w:fill="FFFFFF"/>
        </w:rPr>
        <w:t>il numero delle sentenze penali e della Corte dei Conti emesse nei confronti dei dipendenti con l’ammontare delle eventuali condanne per fatti corruttivi.</w:t>
      </w:r>
    </w:p>
    <w:p w14:paraId="1DD30AC4" w14:textId="77777777" w:rsidR="00603F3F" w:rsidRPr="00E12EE9" w:rsidRDefault="00603F3F" w:rsidP="00603F3F">
      <w:pPr>
        <w:widowControl w:val="0"/>
        <w:spacing w:after="0"/>
        <w:jc w:val="both"/>
        <w:rPr>
          <w:rFonts w:ascii="Times New Roman" w:hAnsi="Times New Roman"/>
          <w:b/>
          <w:sz w:val="20"/>
          <w:szCs w:val="20"/>
          <w:shd w:val="clear" w:color="auto" w:fill="FFFFFF"/>
        </w:rPr>
      </w:pPr>
    </w:p>
    <w:p w14:paraId="4450D2BA" w14:textId="455C68EC" w:rsidR="00603F3F" w:rsidRPr="00CD7FBE" w:rsidRDefault="00603F3F" w:rsidP="00603F3F">
      <w:pPr>
        <w:widowControl w:val="0"/>
        <w:spacing w:after="0"/>
        <w:jc w:val="both"/>
        <w:rPr>
          <w:rFonts w:ascii="Times New Roman" w:hAnsi="Times New Roman"/>
          <w:color w:val="0E0C0C"/>
          <w:sz w:val="20"/>
          <w:szCs w:val="20"/>
          <w:shd w:val="clear" w:color="auto" w:fill="FFFFFF"/>
        </w:rPr>
      </w:pPr>
      <w:r w:rsidRPr="005B2CD3">
        <w:rPr>
          <w:rFonts w:ascii="Times New Roman" w:hAnsi="Times New Roman"/>
          <w:sz w:val="20"/>
          <w:szCs w:val="20"/>
          <w:shd w:val="clear" w:color="auto" w:fill="FFFFFF"/>
        </w:rPr>
        <w:t xml:space="preserve">Il Responsabile </w:t>
      </w:r>
      <w:r w:rsidR="005B2CD3" w:rsidRPr="005B2CD3">
        <w:rPr>
          <w:rFonts w:ascii="Times New Roman" w:hAnsi="Times New Roman"/>
          <w:sz w:val="20"/>
          <w:szCs w:val="20"/>
          <w:shd w:val="clear" w:color="auto" w:fill="FFFFFF"/>
        </w:rPr>
        <w:t>del Settore Amministrativo</w:t>
      </w:r>
      <w:r w:rsidRPr="005B2CD3">
        <w:rPr>
          <w:rFonts w:ascii="Times New Roman" w:hAnsi="Times New Roman"/>
          <w:sz w:val="20"/>
          <w:szCs w:val="20"/>
          <w:shd w:val="clear" w:color="auto" w:fill="FFFFFF"/>
        </w:rPr>
        <w:t xml:space="preserve"> è tenuto, inoltre, a trasmettere ogni dato e/o informazione utile al </w:t>
      </w:r>
      <w:r w:rsidRPr="005B2CD3">
        <w:rPr>
          <w:rFonts w:ascii="Times New Roman" w:hAnsi="Times New Roman"/>
          <w:color w:val="000000"/>
          <w:sz w:val="20"/>
          <w:szCs w:val="20"/>
          <w:lang w:eastAsia="it-IT"/>
        </w:rPr>
        <w:t>RPCT</w:t>
      </w:r>
      <w:r w:rsidRPr="005B2CD3">
        <w:rPr>
          <w:rFonts w:ascii="Times New Roman" w:hAnsi="Times New Roman"/>
          <w:sz w:val="20"/>
          <w:szCs w:val="20"/>
          <w:shd w:val="clear" w:color="auto" w:fill="FFFFFF"/>
        </w:rPr>
        <w:t xml:space="preserve"> per la predisposizione e trasmissione della relazione annuale all’A.N.AC.</w:t>
      </w:r>
    </w:p>
    <w:p w14:paraId="6BB0F505" w14:textId="77777777" w:rsidR="00603F3F" w:rsidRPr="00CD7FBE" w:rsidRDefault="00603F3F" w:rsidP="00603F3F">
      <w:pPr>
        <w:widowControl w:val="0"/>
        <w:spacing w:after="0"/>
        <w:jc w:val="both"/>
        <w:rPr>
          <w:rFonts w:ascii="Times New Roman" w:hAnsi="Times New Roman"/>
          <w:sz w:val="20"/>
          <w:szCs w:val="20"/>
          <w:shd w:val="clear" w:color="auto" w:fill="FFFFFF"/>
        </w:rPr>
      </w:pPr>
    </w:p>
    <w:p w14:paraId="76DC5474" w14:textId="77777777" w:rsidR="00603F3F" w:rsidRPr="00B5587F" w:rsidRDefault="00603F3F" w:rsidP="00603F3F">
      <w:pPr>
        <w:pStyle w:val="Titolo2"/>
        <w:keepNext w:val="0"/>
        <w:spacing w:line="276" w:lineRule="auto"/>
        <w:ind w:left="426" w:hanging="426"/>
        <w:rPr>
          <w:color w:val="0070C0"/>
        </w:rPr>
      </w:pPr>
      <w:bookmarkStart w:id="592" w:name="_Toc410231343"/>
      <w:bookmarkStart w:id="593" w:name="_Toc410231660"/>
      <w:bookmarkStart w:id="594" w:name="_Toc410232844"/>
      <w:bookmarkStart w:id="595" w:name="_Toc418505935"/>
      <w:bookmarkStart w:id="596" w:name="_Toc454796231"/>
      <w:bookmarkStart w:id="597" w:name="_Toc454796293"/>
      <w:bookmarkStart w:id="598" w:name="_Toc473547407"/>
      <w:bookmarkStart w:id="599" w:name="_Toc535854443"/>
      <w:r w:rsidRPr="00B5587F">
        <w:rPr>
          <w:color w:val="0070C0"/>
        </w:rPr>
        <w:t>La formazione e la comunicazione</w:t>
      </w:r>
      <w:bookmarkEnd w:id="592"/>
      <w:bookmarkEnd w:id="593"/>
      <w:bookmarkEnd w:id="594"/>
      <w:bookmarkEnd w:id="595"/>
      <w:bookmarkEnd w:id="596"/>
      <w:bookmarkEnd w:id="597"/>
      <w:bookmarkEnd w:id="598"/>
      <w:bookmarkEnd w:id="599"/>
      <w:r w:rsidRPr="00B5587F">
        <w:rPr>
          <w:color w:val="0070C0"/>
        </w:rPr>
        <w:t xml:space="preserve"> </w:t>
      </w:r>
    </w:p>
    <w:p w14:paraId="7DA0ED88" w14:textId="168CFCEE" w:rsidR="00603F3F" w:rsidRPr="00CD7FBE" w:rsidRDefault="00603F3F" w:rsidP="00603F3F">
      <w:pPr>
        <w:widowControl w:val="0"/>
        <w:spacing w:after="0"/>
        <w:jc w:val="both"/>
        <w:rPr>
          <w:rFonts w:ascii="Times New Roman" w:eastAsia="Times New Roman" w:hAnsi="Times New Roman"/>
          <w:sz w:val="20"/>
          <w:szCs w:val="20"/>
          <w:lang w:eastAsia="it-IT"/>
        </w:rPr>
      </w:pPr>
      <w:r w:rsidRPr="00CD7FBE">
        <w:rPr>
          <w:rFonts w:ascii="Times New Roman" w:hAnsi="Times New Roman"/>
          <w:sz w:val="20"/>
          <w:szCs w:val="20"/>
        </w:rPr>
        <w:t xml:space="preserve">La </w:t>
      </w:r>
      <w:r>
        <w:rPr>
          <w:rFonts w:ascii="Times New Roman" w:hAnsi="Times New Roman"/>
          <w:sz w:val="20"/>
          <w:szCs w:val="20"/>
        </w:rPr>
        <w:t>società</w:t>
      </w:r>
      <w:r w:rsidRPr="00CD7FBE">
        <w:rPr>
          <w:rFonts w:ascii="Times New Roman" w:hAnsi="Times New Roman"/>
          <w:sz w:val="20"/>
          <w:szCs w:val="20"/>
        </w:rPr>
        <w:t xml:space="preserve"> </w:t>
      </w:r>
      <w:r w:rsidRPr="00CD7FBE">
        <w:rPr>
          <w:rFonts w:ascii="Times New Roman" w:eastAsia="Times New Roman" w:hAnsi="Times New Roman"/>
          <w:sz w:val="20"/>
          <w:szCs w:val="20"/>
          <w:lang w:eastAsia="it-IT"/>
        </w:rPr>
        <w:t>intende sviluppare interventi di formazione/informazione rivolti a tutto il personale con la duplice funzione di prevenire e contrastare il fenomeno corruttivo e fornire la massima informazione sulle situazioni concrete di rischio.</w:t>
      </w:r>
    </w:p>
    <w:p w14:paraId="21C5834D" w14:textId="77777777" w:rsidR="00603F3F" w:rsidRPr="00CD7FBE" w:rsidRDefault="00603F3F" w:rsidP="00603F3F">
      <w:pPr>
        <w:widowControl w:val="0"/>
        <w:spacing w:after="0"/>
        <w:jc w:val="both"/>
        <w:rPr>
          <w:rFonts w:ascii="Times New Roman" w:hAnsi="Times New Roman"/>
          <w:sz w:val="20"/>
          <w:szCs w:val="20"/>
        </w:rPr>
      </w:pPr>
    </w:p>
    <w:p w14:paraId="314AF56B" w14:textId="77777777"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La formazione è articolata su più livelli:</w:t>
      </w:r>
    </w:p>
    <w:p w14:paraId="23B5D88C" w14:textId="082EF6A9" w:rsidR="00603F3F" w:rsidRPr="00DD71D2" w:rsidRDefault="00603F3F" w:rsidP="00603F3F">
      <w:pPr>
        <w:widowControl w:val="0"/>
        <w:numPr>
          <w:ilvl w:val="0"/>
          <w:numId w:val="4"/>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 intervento di tipo “informativo” che abbia come caratteristica principale la diffusione dei principi normativi e la contestualizzazione dei profili di rischio legati alle attività svolte dalla società. Tale intervento dovrà necessariamente essere diretto alla generalità del personale ed avere un forte impatto comunicativo diretto a stimolare la condivisione di principi etici;</w:t>
      </w:r>
    </w:p>
    <w:p w14:paraId="12414210" w14:textId="1943A721" w:rsidR="00603F3F" w:rsidRPr="00DD71D2" w:rsidRDefault="00603F3F" w:rsidP="00603F3F">
      <w:pPr>
        <w:widowControl w:val="0"/>
        <w:numPr>
          <w:ilvl w:val="0"/>
          <w:numId w:val="4"/>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“gerarchica” diretta ai responsabili delle strutture (Responsabili</w:t>
      </w:r>
      <w:r w:rsidR="005B2CD3" w:rsidRPr="00DD71D2">
        <w:rPr>
          <w:rFonts w:ascii="Times New Roman" w:eastAsia="Times New Roman" w:hAnsi="Times New Roman"/>
          <w:i/>
          <w:sz w:val="20"/>
          <w:szCs w:val="20"/>
          <w:lang w:eastAsia="it-IT"/>
        </w:rPr>
        <w:t xml:space="preserve"> Settori e Direzioni</w:t>
      </w:r>
      <w:r w:rsidRPr="00DD71D2">
        <w:rPr>
          <w:rFonts w:ascii="Times New Roman" w:eastAsia="Times New Roman" w:hAnsi="Times New Roman"/>
          <w:i/>
          <w:sz w:val="20"/>
          <w:szCs w:val="20"/>
          <w:lang w:eastAsia="it-IT"/>
        </w:rPr>
        <w:t>) con l’obiettivo di definire le responsabilità e le procedure da attivare per evitare/segnalare il verificarsi di episodi di corruzione tra il personale;</w:t>
      </w:r>
    </w:p>
    <w:p w14:paraId="6C901310" w14:textId="77777777" w:rsidR="00603F3F" w:rsidRPr="00DD71D2" w:rsidRDefault="00603F3F" w:rsidP="00603F3F">
      <w:pPr>
        <w:widowControl w:val="0"/>
        <w:numPr>
          <w:ilvl w:val="0"/>
          <w:numId w:val="4"/>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“mirata” diretta in modo specifico al personale operante nelle aree di rischio individuate ai sensi del presente piano e che prenda spunto dai procedimenti e dalle procedure per evidenziare eventuali rischi insiti nelle modalità di lavoro;</w:t>
      </w:r>
    </w:p>
    <w:p w14:paraId="6E382FF1" w14:textId="77777777" w:rsidR="00603F3F" w:rsidRPr="00DD71D2" w:rsidRDefault="00603F3F" w:rsidP="00603F3F">
      <w:pPr>
        <w:widowControl w:val="0"/>
        <w:numPr>
          <w:ilvl w:val="0"/>
          <w:numId w:val="4"/>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a carattere specialistico;</w:t>
      </w:r>
    </w:p>
    <w:p w14:paraId="7C941660" w14:textId="77777777" w:rsidR="00603F3F" w:rsidRPr="00DD71D2" w:rsidRDefault="00603F3F" w:rsidP="00603F3F">
      <w:pPr>
        <w:widowControl w:val="0"/>
        <w:numPr>
          <w:ilvl w:val="0"/>
          <w:numId w:val="4"/>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“periodica” attivabile su richiesta in caso di nuove assunzioni o di assegnazione di nuovo personale alle strutture in cui è maggiormente presente il rischio di corruzione;</w:t>
      </w:r>
    </w:p>
    <w:p w14:paraId="582B5B62" w14:textId="77777777" w:rsidR="00603F3F" w:rsidRPr="00DD71D2" w:rsidRDefault="00603F3F" w:rsidP="00603F3F">
      <w:pPr>
        <w:widowControl w:val="0"/>
        <w:numPr>
          <w:ilvl w:val="0"/>
          <w:numId w:val="4"/>
        </w:numPr>
        <w:tabs>
          <w:tab w:val="clear" w:pos="720"/>
        </w:tabs>
        <w:spacing w:after="0"/>
        <w:ind w:left="284" w:hanging="284"/>
        <w:jc w:val="both"/>
        <w:rPr>
          <w:rFonts w:ascii="Times New Roman" w:eastAsia="Times New Roman" w:hAnsi="Times New Roman"/>
          <w:i/>
          <w:sz w:val="20"/>
          <w:szCs w:val="20"/>
          <w:lang w:eastAsia="it-IT"/>
        </w:rPr>
      </w:pPr>
      <w:r w:rsidRPr="00DD71D2">
        <w:rPr>
          <w:rFonts w:ascii="Times New Roman" w:eastAsia="Times New Roman" w:hAnsi="Times New Roman"/>
          <w:i/>
          <w:sz w:val="20"/>
          <w:szCs w:val="20"/>
          <w:lang w:eastAsia="it-IT"/>
        </w:rPr>
        <w:t>una formazione “intervento” da attivare nel caso sia rilevato un episodio di potenziale corruzione su istanza del Responsabile.</w:t>
      </w:r>
    </w:p>
    <w:p w14:paraId="125D97D8" w14:textId="77777777" w:rsidR="00603F3F" w:rsidRPr="00CD7FBE" w:rsidRDefault="00603F3F" w:rsidP="00603F3F">
      <w:pPr>
        <w:widowControl w:val="0"/>
        <w:spacing w:after="0"/>
        <w:jc w:val="both"/>
        <w:rPr>
          <w:rFonts w:ascii="Times New Roman" w:hAnsi="Times New Roman"/>
          <w:sz w:val="20"/>
          <w:szCs w:val="20"/>
        </w:rPr>
      </w:pPr>
    </w:p>
    <w:p w14:paraId="27D9FC30" w14:textId="1EDD24C1"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Caratteristica dei percorsi formativi proposti sarà la modularità, il cui obiettivo principale è di assicurare una formazione puntuale e continua che possa essere declinata in base ai diversi livelli di responsabilità e ai diversi livelli di “rischio” presenti nelle strutture della </w:t>
      </w:r>
      <w:r>
        <w:rPr>
          <w:rFonts w:ascii="Times New Roman" w:hAnsi="Times New Roman"/>
          <w:sz w:val="20"/>
          <w:szCs w:val="20"/>
        </w:rPr>
        <w:t>società</w:t>
      </w:r>
      <w:r w:rsidRPr="00CD7FBE">
        <w:rPr>
          <w:rFonts w:ascii="Times New Roman" w:hAnsi="Times New Roman"/>
          <w:sz w:val="20"/>
          <w:szCs w:val="20"/>
        </w:rPr>
        <w:t>.</w:t>
      </w:r>
      <w:r>
        <w:rPr>
          <w:rFonts w:ascii="Times New Roman" w:hAnsi="Times New Roman"/>
          <w:sz w:val="20"/>
          <w:szCs w:val="20"/>
        </w:rPr>
        <w:t xml:space="preserve"> </w:t>
      </w:r>
      <w:r w:rsidRPr="00B55C7C">
        <w:rPr>
          <w:rFonts w:ascii="Times New Roman" w:hAnsi="Times New Roman"/>
          <w:sz w:val="20"/>
          <w:szCs w:val="20"/>
        </w:rPr>
        <w:t xml:space="preserve">Ai fini dell'espletamento dell’attività di formazione in materia di anticorruzione la </w:t>
      </w:r>
      <w:r>
        <w:rPr>
          <w:rFonts w:ascii="Times New Roman" w:hAnsi="Times New Roman"/>
          <w:sz w:val="20"/>
          <w:szCs w:val="20"/>
        </w:rPr>
        <w:t>società</w:t>
      </w:r>
      <w:r w:rsidRPr="00B55C7C">
        <w:rPr>
          <w:rFonts w:ascii="Times New Roman" w:hAnsi="Times New Roman"/>
          <w:sz w:val="20"/>
          <w:szCs w:val="20"/>
        </w:rPr>
        <w:t xml:space="preserve"> si avvarrà </w:t>
      </w:r>
      <w:r>
        <w:rPr>
          <w:rFonts w:ascii="Times New Roman" w:hAnsi="Times New Roman"/>
          <w:sz w:val="20"/>
          <w:szCs w:val="20"/>
        </w:rPr>
        <w:t xml:space="preserve">anche </w:t>
      </w:r>
      <w:r w:rsidRPr="00B55C7C">
        <w:rPr>
          <w:rFonts w:ascii="Times New Roman" w:hAnsi="Times New Roman"/>
          <w:sz w:val="20"/>
          <w:szCs w:val="20"/>
        </w:rPr>
        <w:t xml:space="preserve">di accordi quadro e convenzioni </w:t>
      </w:r>
      <w:r w:rsidRPr="00E0441E">
        <w:rPr>
          <w:rFonts w:ascii="Times New Roman" w:hAnsi="Times New Roman"/>
          <w:sz w:val="20"/>
          <w:szCs w:val="20"/>
        </w:rPr>
        <w:t>con la Scuola Nazionale dell’Amministr</w:t>
      </w:r>
      <w:r w:rsidR="004C259B" w:rsidRPr="00E0441E">
        <w:rPr>
          <w:rFonts w:ascii="Times New Roman" w:hAnsi="Times New Roman"/>
          <w:sz w:val="20"/>
          <w:szCs w:val="20"/>
        </w:rPr>
        <w:t xml:space="preserve">azione (SNA), Soggetti Accreditati </w:t>
      </w:r>
      <w:r w:rsidRPr="00E0441E">
        <w:rPr>
          <w:rFonts w:ascii="Times New Roman" w:hAnsi="Times New Roman"/>
          <w:sz w:val="20"/>
          <w:szCs w:val="20"/>
        </w:rPr>
        <w:t>ed Università pubbliche.</w:t>
      </w:r>
      <w:r w:rsidRPr="00CD7FBE">
        <w:rPr>
          <w:rFonts w:ascii="Times New Roman" w:hAnsi="Times New Roman"/>
          <w:sz w:val="20"/>
          <w:szCs w:val="20"/>
        </w:rPr>
        <w:t xml:space="preserve"> </w:t>
      </w:r>
    </w:p>
    <w:p w14:paraId="70AC7EFF" w14:textId="77777777" w:rsidR="00603F3F" w:rsidRDefault="00603F3F" w:rsidP="00603F3F">
      <w:pPr>
        <w:widowControl w:val="0"/>
        <w:spacing w:after="0"/>
        <w:jc w:val="both"/>
        <w:rPr>
          <w:rFonts w:ascii="Times New Roman" w:hAnsi="Times New Roman"/>
          <w:sz w:val="20"/>
          <w:szCs w:val="20"/>
        </w:rPr>
      </w:pPr>
      <w:bookmarkStart w:id="600" w:name="_Toc410231345"/>
      <w:bookmarkStart w:id="601" w:name="_Toc410231662"/>
      <w:bookmarkStart w:id="602" w:name="_Toc410232846"/>
      <w:bookmarkStart w:id="603" w:name="_Toc418505937"/>
    </w:p>
    <w:p w14:paraId="68E1BA31" w14:textId="77777777" w:rsidR="00603F3F" w:rsidRPr="00B5587F" w:rsidRDefault="00603F3F" w:rsidP="00603F3F">
      <w:pPr>
        <w:pStyle w:val="Titolo2"/>
        <w:keepNext w:val="0"/>
        <w:spacing w:line="276" w:lineRule="auto"/>
        <w:ind w:left="426" w:hanging="426"/>
        <w:rPr>
          <w:color w:val="0070C0"/>
        </w:rPr>
      </w:pPr>
      <w:bookmarkStart w:id="604" w:name="_Toc454796232"/>
      <w:bookmarkStart w:id="605" w:name="_Toc454796294"/>
      <w:bookmarkStart w:id="606" w:name="_Toc473547408"/>
      <w:bookmarkStart w:id="607" w:name="_Toc535854444"/>
      <w:r w:rsidRPr="00B5587F">
        <w:rPr>
          <w:color w:val="0070C0"/>
        </w:rPr>
        <w:t>La mappatura, l’analisi e la valutazione del rischio dei processi</w:t>
      </w:r>
      <w:bookmarkEnd w:id="600"/>
      <w:bookmarkEnd w:id="601"/>
      <w:bookmarkEnd w:id="602"/>
      <w:bookmarkEnd w:id="603"/>
      <w:bookmarkEnd w:id="604"/>
      <w:bookmarkEnd w:id="605"/>
      <w:bookmarkEnd w:id="606"/>
      <w:bookmarkEnd w:id="607"/>
      <w:r w:rsidRPr="00B5587F">
        <w:rPr>
          <w:color w:val="0070C0"/>
        </w:rPr>
        <w:t xml:space="preserve"> </w:t>
      </w:r>
    </w:p>
    <w:p w14:paraId="36B0E608" w14:textId="711E709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Si </w:t>
      </w:r>
      <w:r w:rsidR="004C259B">
        <w:rPr>
          <w:rFonts w:ascii="Times New Roman" w:hAnsi="Times New Roman"/>
          <w:color w:val="000000"/>
          <w:sz w:val="20"/>
          <w:szCs w:val="20"/>
          <w:lang w:eastAsia="it-IT"/>
        </w:rPr>
        <w:t>sta procedendo</w:t>
      </w:r>
      <w:r>
        <w:rPr>
          <w:rFonts w:ascii="Times New Roman" w:hAnsi="Times New Roman"/>
          <w:color w:val="000000"/>
          <w:sz w:val="20"/>
          <w:szCs w:val="20"/>
          <w:lang w:eastAsia="it-IT"/>
        </w:rPr>
        <w:t xml:space="preserve"> ad una nuova mappatura dei</w:t>
      </w:r>
      <w:r w:rsidRPr="00CD7FBE">
        <w:rPr>
          <w:rFonts w:ascii="Times New Roman" w:hAnsi="Times New Roman"/>
          <w:color w:val="000000"/>
          <w:sz w:val="20"/>
          <w:szCs w:val="20"/>
          <w:lang w:eastAsia="it-IT"/>
        </w:rPr>
        <w:t xml:space="preserve"> processi aziendali </w:t>
      </w:r>
      <w:r>
        <w:rPr>
          <w:rFonts w:ascii="Times New Roman" w:hAnsi="Times New Roman"/>
          <w:color w:val="000000"/>
          <w:sz w:val="20"/>
          <w:szCs w:val="20"/>
          <w:lang w:eastAsia="it-IT"/>
        </w:rPr>
        <w:t xml:space="preserve">che </w:t>
      </w:r>
      <w:r w:rsidRPr="00CD7FBE">
        <w:rPr>
          <w:rFonts w:ascii="Times New Roman" w:hAnsi="Times New Roman"/>
          <w:color w:val="000000"/>
          <w:sz w:val="20"/>
          <w:szCs w:val="20"/>
          <w:lang w:eastAsia="it-IT"/>
        </w:rPr>
        <w:t xml:space="preserve">sono stati scomposti in sub-processi e questi ultimi, in alcuni casi, sono stati ulteriormente suddivisi in attività. </w:t>
      </w:r>
    </w:p>
    <w:p w14:paraId="3B75A0E4" w14:textId="1E52ACF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Tale suddivisione dei sub-processi in attività è avvenuta in tutti quei casi in cui all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interno del sub-processo sono presenti delle attività che si caratterizzano per un livello di esposizione al rischio differente e, pertanto, si è ritenuto opportuno applicare un maggior livello di scomposizione. </w:t>
      </w:r>
    </w:p>
    <w:p w14:paraId="2AAA1875" w14:textId="15FC7A2C"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Nell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analizzare i processi aziendali l</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attenzione è stata rivolta, oltre che alle aree di rischio obbligatorie previste dal PNA – personale, affidamento di lavori, servizi e forniture – anche ai processi relativi ai contratti di servizio sottoscritti con </w:t>
      </w:r>
      <w:r w:rsidR="00B5587F">
        <w:rPr>
          <w:rFonts w:ascii="Times New Roman" w:hAnsi="Times New Roman"/>
          <w:color w:val="000000"/>
          <w:sz w:val="20"/>
          <w:szCs w:val="20"/>
          <w:lang w:eastAsia="it-IT"/>
        </w:rPr>
        <w:t>il Comune di Marino</w:t>
      </w:r>
      <w:r w:rsidRPr="00CD7FBE">
        <w:rPr>
          <w:rFonts w:ascii="Times New Roman" w:hAnsi="Times New Roman"/>
          <w:color w:val="000000"/>
          <w:sz w:val="20"/>
          <w:szCs w:val="20"/>
          <w:lang w:eastAsia="it-IT"/>
        </w:rPr>
        <w:t xml:space="preserve">, i cui processi a rischio corruzione sono mappati all’interno del PTPC predisposto dalla Giunta e dal Consiglio </w:t>
      </w:r>
      <w:r w:rsidR="00B5587F">
        <w:rPr>
          <w:rFonts w:ascii="Times New Roman" w:hAnsi="Times New Roman"/>
          <w:color w:val="000000"/>
          <w:sz w:val="20"/>
          <w:szCs w:val="20"/>
          <w:lang w:eastAsia="it-IT"/>
        </w:rPr>
        <w:t>Comunale di Marino</w:t>
      </w:r>
      <w:r w:rsidRPr="00CD7FBE">
        <w:rPr>
          <w:rFonts w:ascii="Times New Roman" w:hAnsi="Times New Roman"/>
          <w:color w:val="000000"/>
          <w:sz w:val="20"/>
          <w:szCs w:val="20"/>
          <w:lang w:eastAsia="it-IT"/>
        </w:rPr>
        <w:t>.</w:t>
      </w:r>
    </w:p>
    <w:p w14:paraId="4FCD98DB" w14:textId="3A887E3A"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Nel corso del triennio di riferimento, la società procederà a completare la mappatura di tutti i principali processi aziendali e/o a implementare la scomposizione delle attività dei processi già mappati, nonché a valutare anche gli effetti </w:t>
      </w:r>
      <w:r w:rsidRPr="009F7F3D">
        <w:rPr>
          <w:rFonts w:ascii="Times New Roman" w:hAnsi="Times New Roman"/>
          <w:color w:val="000000"/>
          <w:sz w:val="20"/>
          <w:szCs w:val="20"/>
          <w:lang w:eastAsia="it-IT"/>
        </w:rPr>
        <w:t>delle interrelazioni con i</w:t>
      </w:r>
      <w:r>
        <w:rPr>
          <w:rFonts w:ascii="Times New Roman" w:hAnsi="Times New Roman"/>
          <w:color w:val="000000"/>
          <w:sz w:val="20"/>
          <w:szCs w:val="20"/>
          <w:lang w:eastAsia="it-IT"/>
        </w:rPr>
        <w:t>l contesto esterno (stakeholder</w:t>
      </w:r>
      <w:r w:rsidRPr="009F7F3D">
        <w:rPr>
          <w:rFonts w:ascii="Times New Roman" w:hAnsi="Times New Roman"/>
          <w:color w:val="000000"/>
          <w:sz w:val="20"/>
          <w:szCs w:val="20"/>
          <w:lang w:eastAsia="it-IT"/>
        </w:rPr>
        <w:t xml:space="preserve"> compresi) e con le specificità interne dell’organizzazione</w:t>
      </w:r>
      <w:r>
        <w:rPr>
          <w:rFonts w:ascii="Times New Roman" w:hAnsi="Times New Roman"/>
          <w:color w:val="000000"/>
          <w:sz w:val="20"/>
          <w:szCs w:val="20"/>
          <w:lang w:eastAsia="it-IT"/>
        </w:rPr>
        <w:t xml:space="preserve">. Tale analisi del contesto estero identificherà e terrà sotto controllo i rischi di corruzione che i </w:t>
      </w:r>
      <w:r w:rsidRPr="009F7F3D">
        <w:rPr>
          <w:rFonts w:ascii="Times New Roman" w:hAnsi="Times New Roman"/>
          <w:color w:val="000000"/>
          <w:sz w:val="20"/>
          <w:szCs w:val="20"/>
          <w:lang w:eastAsia="it-IT"/>
        </w:rPr>
        <w:t>soggetti terzi</w:t>
      </w:r>
      <w:r>
        <w:rPr>
          <w:rFonts w:ascii="Times New Roman" w:hAnsi="Times New Roman"/>
          <w:color w:val="000000"/>
          <w:sz w:val="20"/>
          <w:szCs w:val="20"/>
          <w:lang w:eastAsia="it-IT"/>
        </w:rPr>
        <w:t>,</w:t>
      </w:r>
      <w:r w:rsidRPr="009F7F3D">
        <w:rPr>
          <w:rFonts w:ascii="Times New Roman" w:hAnsi="Times New Roman"/>
          <w:color w:val="000000"/>
          <w:sz w:val="20"/>
          <w:szCs w:val="20"/>
          <w:lang w:eastAsia="it-IT"/>
        </w:rPr>
        <w:t xml:space="preserve"> che agiscono per conto dell’organizzazione (</w:t>
      </w:r>
      <w:r w:rsidRPr="00D85816">
        <w:rPr>
          <w:rFonts w:ascii="Times New Roman" w:hAnsi="Times New Roman"/>
          <w:i/>
          <w:color w:val="000000"/>
          <w:sz w:val="20"/>
          <w:szCs w:val="20"/>
          <w:lang w:eastAsia="it-IT"/>
        </w:rPr>
        <w:t>es. consulenti, fornitori, agenti, intermediari, etc.</w:t>
      </w:r>
      <w:r w:rsidRPr="009F7F3D">
        <w:rPr>
          <w:rFonts w:ascii="Times New Roman" w:hAnsi="Times New Roman"/>
          <w:color w:val="000000"/>
          <w:sz w:val="20"/>
          <w:szCs w:val="20"/>
          <w:lang w:eastAsia="it-IT"/>
        </w:rPr>
        <w:t>)</w:t>
      </w:r>
      <w:r>
        <w:rPr>
          <w:rFonts w:ascii="Times New Roman" w:hAnsi="Times New Roman"/>
          <w:color w:val="000000"/>
          <w:sz w:val="20"/>
          <w:szCs w:val="20"/>
          <w:lang w:eastAsia="it-IT"/>
        </w:rPr>
        <w:t>,</w:t>
      </w:r>
      <w:r w:rsidRPr="009F7F3D">
        <w:rPr>
          <w:rFonts w:ascii="Times New Roman" w:hAnsi="Times New Roman"/>
          <w:color w:val="000000"/>
          <w:sz w:val="20"/>
          <w:szCs w:val="20"/>
          <w:lang w:eastAsia="it-IT"/>
        </w:rPr>
        <w:t xml:space="preserve"> possono determinare.</w:t>
      </w:r>
    </w:p>
    <w:p w14:paraId="53809FA0" w14:textId="788AF5F7"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Tale mappatura è obbligatoria</w:t>
      </w:r>
      <w:r w:rsidR="00135014">
        <w:rPr>
          <w:rFonts w:ascii="Times New Roman" w:hAnsi="Times New Roman"/>
          <w:color w:val="000000"/>
          <w:sz w:val="20"/>
          <w:szCs w:val="20"/>
          <w:lang w:eastAsia="it-IT"/>
        </w:rPr>
        <w:t xml:space="preserve"> anche nella fase di attivazione</w:t>
      </w:r>
      <w:r>
        <w:rPr>
          <w:rFonts w:ascii="Times New Roman" w:hAnsi="Times New Roman"/>
          <w:color w:val="000000"/>
          <w:sz w:val="20"/>
          <w:szCs w:val="20"/>
          <w:lang w:eastAsia="it-IT"/>
        </w:rPr>
        <w:t xml:space="preserve"> di nuovi servizi per i quali la società deve procedere alla mappatura dei relativi rischi secondo la seguente metodologia.</w:t>
      </w:r>
    </w:p>
    <w:p w14:paraId="20084F5E" w14:textId="097E90BA" w:rsidR="00603F3F" w:rsidRPr="00FC1C30" w:rsidRDefault="00603F3F" w:rsidP="00603F3F">
      <w:pPr>
        <w:widowControl w:val="0"/>
        <w:spacing w:after="0"/>
        <w:jc w:val="both"/>
        <w:rPr>
          <w:rFonts w:ascii="Times New Roman" w:hAnsi="Times New Roman"/>
          <w:color w:val="000000"/>
          <w:sz w:val="20"/>
          <w:szCs w:val="20"/>
          <w:lang w:eastAsia="it-IT"/>
        </w:rPr>
      </w:pPr>
      <w:r w:rsidRPr="00FC1C30">
        <w:rPr>
          <w:rFonts w:ascii="Times New Roman" w:hAnsi="Times New Roman"/>
          <w:color w:val="000000"/>
          <w:sz w:val="20"/>
          <w:szCs w:val="20"/>
          <w:lang w:eastAsia="it-IT"/>
        </w:rPr>
        <w:t xml:space="preserve">La metodologia </w:t>
      </w:r>
      <w:r>
        <w:rPr>
          <w:rFonts w:ascii="Times New Roman" w:hAnsi="Times New Roman"/>
          <w:color w:val="000000"/>
          <w:sz w:val="20"/>
          <w:szCs w:val="20"/>
          <w:lang w:eastAsia="it-IT"/>
        </w:rPr>
        <w:t>seguita</w:t>
      </w:r>
      <w:r w:rsidRPr="00FC1C30">
        <w:rPr>
          <w:rFonts w:ascii="Times New Roman" w:hAnsi="Times New Roman"/>
          <w:color w:val="000000"/>
          <w:sz w:val="20"/>
          <w:szCs w:val="20"/>
          <w:lang w:eastAsia="it-IT"/>
        </w:rPr>
        <w:t xml:space="preserve"> consiste in:</w:t>
      </w:r>
    </w:p>
    <w:p w14:paraId="79D99619" w14:textId="0947F725" w:rsidR="00603F3F" w:rsidRPr="002707CA" w:rsidRDefault="00603F3F" w:rsidP="003E3269">
      <w:pPr>
        <w:pStyle w:val="Paragrafoelenco"/>
        <w:widowControl w:val="0"/>
        <w:numPr>
          <w:ilvl w:val="0"/>
          <w:numId w:val="39"/>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Valutazione, che viene effettuata in termini di probabilità di impatto (rischio lordo o inerente), e successivamente come gravità dell’evento rischioso;</w:t>
      </w:r>
    </w:p>
    <w:p w14:paraId="2B602BD4" w14:textId="4401D1D1" w:rsidR="00603F3F" w:rsidRPr="002707CA" w:rsidRDefault="00603F3F" w:rsidP="003E3269">
      <w:pPr>
        <w:pStyle w:val="Paragrafoelenco"/>
        <w:widowControl w:val="0"/>
        <w:numPr>
          <w:ilvl w:val="0"/>
          <w:numId w:val="39"/>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Ponderazione, effettuata assegnando un valore al rischio post adozione delle misure di prevenzione (rischio netto o residuo);</w:t>
      </w:r>
    </w:p>
    <w:p w14:paraId="37C51C5A" w14:textId="1875F119" w:rsidR="00603F3F" w:rsidRPr="002707CA" w:rsidRDefault="00603F3F" w:rsidP="003E3269">
      <w:pPr>
        <w:pStyle w:val="Paragrafoelenco"/>
        <w:widowControl w:val="0"/>
        <w:numPr>
          <w:ilvl w:val="0"/>
          <w:numId w:val="39"/>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Previsione a fianco di tutti i possibili eventi di rischio delle probabili fattispecie di reato.</w:t>
      </w:r>
    </w:p>
    <w:p w14:paraId="74B26B53" w14:textId="77777777" w:rsidR="00603F3F" w:rsidRDefault="00603F3F" w:rsidP="00603F3F">
      <w:pPr>
        <w:widowControl w:val="0"/>
        <w:spacing w:after="0"/>
        <w:jc w:val="both"/>
        <w:rPr>
          <w:rFonts w:ascii="Times New Roman" w:hAnsi="Times New Roman"/>
          <w:color w:val="000000"/>
          <w:sz w:val="20"/>
          <w:szCs w:val="20"/>
          <w:lang w:eastAsia="it-IT"/>
        </w:rPr>
      </w:pPr>
    </w:p>
    <w:p w14:paraId="1FE27E92" w14:textId="1B6192B2" w:rsidR="00603F3F" w:rsidRPr="00456AE5"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Ai fini della valutazione del rischio, </w:t>
      </w:r>
      <w:r w:rsidRPr="00456AE5">
        <w:rPr>
          <w:rFonts w:ascii="Times New Roman" w:hAnsi="Times New Roman"/>
          <w:color w:val="000000"/>
          <w:sz w:val="20"/>
          <w:szCs w:val="20"/>
          <w:lang w:eastAsia="it-IT"/>
        </w:rPr>
        <w:t>de</w:t>
      </w:r>
      <w:r>
        <w:rPr>
          <w:rFonts w:ascii="Times New Roman" w:hAnsi="Times New Roman"/>
          <w:color w:val="000000"/>
          <w:sz w:val="20"/>
          <w:szCs w:val="20"/>
          <w:lang w:eastAsia="it-IT"/>
        </w:rPr>
        <w:t>lla sua ponderazione e dell’</w:t>
      </w:r>
      <w:r w:rsidRPr="00456AE5">
        <w:rPr>
          <w:rFonts w:ascii="Times New Roman" w:hAnsi="Times New Roman"/>
          <w:color w:val="000000"/>
          <w:sz w:val="20"/>
          <w:szCs w:val="20"/>
          <w:lang w:eastAsia="it-IT"/>
        </w:rPr>
        <w:t>individuazione delle possibili fattispecie di reato</w:t>
      </w:r>
      <w:r>
        <w:rPr>
          <w:rFonts w:ascii="Times New Roman" w:hAnsi="Times New Roman"/>
          <w:color w:val="000000"/>
          <w:sz w:val="20"/>
          <w:szCs w:val="20"/>
          <w:lang w:eastAsia="it-IT"/>
        </w:rPr>
        <w:t>,</w:t>
      </w:r>
      <w:r w:rsidRPr="00456AE5">
        <w:rPr>
          <w:rFonts w:ascii="Times New Roman" w:hAnsi="Times New Roman"/>
          <w:color w:val="000000"/>
          <w:sz w:val="20"/>
          <w:szCs w:val="20"/>
          <w:lang w:eastAsia="it-IT"/>
        </w:rPr>
        <w:t xml:space="preserve"> si è utilizzata una metodologia basata su:</w:t>
      </w:r>
    </w:p>
    <w:p w14:paraId="4F1E7171" w14:textId="31695E6D" w:rsidR="00603F3F" w:rsidRPr="002707CA" w:rsidRDefault="00603F3F" w:rsidP="003E3269">
      <w:pPr>
        <w:pStyle w:val="Paragrafoelenco"/>
        <w:widowControl w:val="0"/>
        <w:numPr>
          <w:ilvl w:val="0"/>
          <w:numId w:val="40"/>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Questionari;</w:t>
      </w:r>
    </w:p>
    <w:p w14:paraId="5DF2E40D" w14:textId="088F154D" w:rsidR="00603F3F" w:rsidRPr="002707CA" w:rsidRDefault="00603F3F" w:rsidP="003E3269">
      <w:pPr>
        <w:pStyle w:val="Paragrafoelenco"/>
        <w:widowControl w:val="0"/>
        <w:numPr>
          <w:ilvl w:val="0"/>
          <w:numId w:val="40"/>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Interviste dirette;</w:t>
      </w:r>
    </w:p>
    <w:p w14:paraId="7FAEFA62" w14:textId="46E3D113" w:rsidR="00603F3F" w:rsidRPr="002707CA" w:rsidRDefault="00603F3F" w:rsidP="003E3269">
      <w:pPr>
        <w:pStyle w:val="Paragrafoelenco"/>
        <w:widowControl w:val="0"/>
        <w:numPr>
          <w:ilvl w:val="0"/>
          <w:numId w:val="40"/>
        </w:numPr>
        <w:spacing w:after="0" w:line="276" w:lineRule="auto"/>
        <w:ind w:left="284" w:hanging="284"/>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Valutazioni statistiche e giurisprudenziali.</w:t>
      </w:r>
    </w:p>
    <w:p w14:paraId="2CD89D32" w14:textId="735BD674" w:rsidR="00603F3F" w:rsidRDefault="00603F3F" w:rsidP="00603F3F">
      <w:pPr>
        <w:widowControl w:val="0"/>
        <w:spacing w:after="0"/>
        <w:jc w:val="both"/>
        <w:rPr>
          <w:rFonts w:ascii="Times New Roman" w:hAnsi="Times New Roman"/>
          <w:color w:val="000000"/>
          <w:sz w:val="20"/>
          <w:szCs w:val="20"/>
          <w:lang w:eastAsia="it-IT"/>
        </w:rPr>
      </w:pPr>
    </w:p>
    <w:p w14:paraId="559D341B" w14:textId="002D37E2" w:rsidR="00603F3F" w:rsidRPr="00801CDB"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Sono stati seguiti i principi e le linee guida UNI ISO 31000:2010 </w:t>
      </w:r>
      <w:r w:rsidRPr="00801CDB">
        <w:rPr>
          <w:rFonts w:ascii="Times New Roman" w:hAnsi="Times New Roman"/>
          <w:color w:val="000000"/>
          <w:sz w:val="20"/>
          <w:szCs w:val="20"/>
          <w:lang w:eastAsia="it-IT"/>
        </w:rPr>
        <w:t>che prescrivono, come ele</w:t>
      </w:r>
      <w:r>
        <w:rPr>
          <w:rFonts w:ascii="Times New Roman" w:hAnsi="Times New Roman"/>
          <w:color w:val="000000"/>
          <w:sz w:val="20"/>
          <w:szCs w:val="20"/>
          <w:lang w:eastAsia="it-IT"/>
        </w:rPr>
        <w:t>menti del processo di gestione e mappatura</w:t>
      </w:r>
      <w:r w:rsidRPr="00801CDB">
        <w:rPr>
          <w:rFonts w:ascii="Times New Roman" w:hAnsi="Times New Roman"/>
          <w:color w:val="000000"/>
          <w:sz w:val="20"/>
          <w:szCs w:val="20"/>
          <w:lang w:eastAsia="it-IT"/>
        </w:rPr>
        <w:t xml:space="preserve"> del rischio:</w:t>
      </w:r>
    </w:p>
    <w:p w14:paraId="0AE4D63D" w14:textId="7B806052"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1) Definizione del contesto;</w:t>
      </w:r>
    </w:p>
    <w:p w14:paraId="07FBA141" w14:textId="26A1C677"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2)Valutazione del rischio (identificazione, analisi e ponderazione);</w:t>
      </w:r>
    </w:p>
    <w:p w14:paraId="253F1063" w14:textId="72A5A2BA"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3) Trattamento del rischio.</w:t>
      </w:r>
    </w:p>
    <w:p w14:paraId="57609F19" w14:textId="06590C86" w:rsidR="00603F3F" w:rsidRDefault="00603F3F" w:rsidP="00603F3F">
      <w:pPr>
        <w:widowControl w:val="0"/>
        <w:spacing w:after="0"/>
        <w:jc w:val="both"/>
        <w:rPr>
          <w:rFonts w:ascii="Times New Roman" w:hAnsi="Times New Roman"/>
          <w:color w:val="000000"/>
          <w:sz w:val="20"/>
          <w:szCs w:val="20"/>
          <w:lang w:eastAsia="it-IT"/>
        </w:rPr>
      </w:pPr>
    </w:p>
    <w:p w14:paraId="6EBD3A81" w14:textId="3A3D3F8F" w:rsidR="00603F3F" w:rsidRPr="006D3E80" w:rsidRDefault="00603F3F" w:rsidP="00603F3F">
      <w:pPr>
        <w:widowControl w:val="0"/>
        <w:spacing w:after="0"/>
        <w:jc w:val="both"/>
        <w:rPr>
          <w:rFonts w:ascii="Times New Roman" w:hAnsi="Times New Roman"/>
          <w:color w:val="000000"/>
          <w:sz w:val="20"/>
          <w:szCs w:val="20"/>
          <w:lang w:eastAsia="it-IT"/>
        </w:rPr>
      </w:pPr>
      <w:r w:rsidRPr="006D3E80">
        <w:rPr>
          <w:rFonts w:ascii="Times New Roman" w:hAnsi="Times New Roman"/>
          <w:color w:val="000000"/>
          <w:sz w:val="20"/>
          <w:szCs w:val="20"/>
          <w:lang w:eastAsia="it-IT"/>
        </w:rPr>
        <w:t xml:space="preserve">I criteri di valutazione del rischio sono stati integrati dallo standard che la norma </w:t>
      </w:r>
      <w:r>
        <w:rPr>
          <w:rFonts w:ascii="Times New Roman" w:hAnsi="Times New Roman"/>
          <w:color w:val="000000"/>
          <w:sz w:val="20"/>
          <w:szCs w:val="20"/>
          <w:lang w:eastAsia="it-IT"/>
        </w:rPr>
        <w:t>UNI ISO 37001:2016 prevede per l’anticorruzione</w:t>
      </w:r>
      <w:r w:rsidRPr="006D3E80">
        <w:rPr>
          <w:rFonts w:ascii="Times New Roman" w:hAnsi="Times New Roman"/>
          <w:color w:val="000000"/>
          <w:sz w:val="20"/>
          <w:szCs w:val="20"/>
          <w:lang w:eastAsia="it-IT"/>
        </w:rPr>
        <w:t>:</w:t>
      </w:r>
    </w:p>
    <w:p w14:paraId="6C7A5767" w14:textId="6A8045EB"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1)</w:t>
      </w:r>
      <w:r w:rsidRPr="006D3E80">
        <w:rPr>
          <w:rFonts w:ascii="Times New Roman" w:hAnsi="Times New Roman"/>
          <w:color w:val="000000"/>
          <w:sz w:val="20"/>
          <w:szCs w:val="20"/>
          <w:lang w:eastAsia="it-IT"/>
        </w:rPr>
        <w:t xml:space="preserve"> </w:t>
      </w:r>
      <w:r w:rsidRPr="002707CA">
        <w:rPr>
          <w:rFonts w:ascii="Times New Roman" w:hAnsi="Times New Roman"/>
          <w:i/>
          <w:color w:val="000000"/>
          <w:sz w:val="20"/>
          <w:szCs w:val="20"/>
          <w:lang w:eastAsia="it-IT"/>
        </w:rPr>
        <w:t>Identificazione dei rischi prevedibili;</w:t>
      </w:r>
    </w:p>
    <w:p w14:paraId="2C780407" w14:textId="2BDC36FF"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2) Individuazione di un indice di priorità dei rischi secondo criteri di valutazione articolati su più livelli (tre);</w:t>
      </w:r>
    </w:p>
    <w:p w14:paraId="2142219C" w14:textId="471BCFA6" w:rsidR="00603F3F" w:rsidRPr="002707CA" w:rsidRDefault="00603F3F" w:rsidP="00603F3F">
      <w:pPr>
        <w:widowControl w:val="0"/>
        <w:spacing w:after="0"/>
        <w:jc w:val="both"/>
        <w:rPr>
          <w:rFonts w:ascii="Times New Roman" w:hAnsi="Times New Roman"/>
          <w:i/>
          <w:color w:val="000000"/>
          <w:sz w:val="20"/>
          <w:szCs w:val="20"/>
          <w:lang w:eastAsia="it-IT"/>
        </w:rPr>
      </w:pPr>
      <w:r w:rsidRPr="002707CA">
        <w:rPr>
          <w:rFonts w:ascii="Times New Roman" w:hAnsi="Times New Roman"/>
          <w:i/>
          <w:color w:val="000000"/>
          <w:sz w:val="20"/>
          <w:szCs w:val="20"/>
          <w:lang w:eastAsia="it-IT"/>
        </w:rPr>
        <w:t>3) Valutazione dell’idoneità e dell’efficacia dei controlli ad impedire la commissione dei reati.</w:t>
      </w:r>
    </w:p>
    <w:p w14:paraId="34BE3A06" w14:textId="77777777" w:rsidR="00603F3F" w:rsidRDefault="00603F3F" w:rsidP="00603F3F">
      <w:pPr>
        <w:widowControl w:val="0"/>
        <w:spacing w:after="0"/>
        <w:jc w:val="both"/>
        <w:rPr>
          <w:rFonts w:ascii="Times New Roman" w:hAnsi="Times New Roman"/>
          <w:color w:val="000000"/>
          <w:sz w:val="20"/>
          <w:szCs w:val="20"/>
          <w:lang w:eastAsia="it-IT"/>
        </w:rPr>
      </w:pPr>
    </w:p>
    <w:p w14:paraId="3F1AE77D" w14:textId="78905083" w:rsidR="00603F3F" w:rsidRPr="002D5228"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Per quanto riguarda l’i</w:t>
      </w:r>
      <w:r w:rsidRPr="009720F3">
        <w:rPr>
          <w:rFonts w:ascii="Times New Roman" w:hAnsi="Times New Roman"/>
          <w:color w:val="000000"/>
          <w:sz w:val="20"/>
          <w:szCs w:val="20"/>
          <w:lang w:eastAsia="it-IT"/>
        </w:rPr>
        <w:t>dentificazione dei rischi</w:t>
      </w:r>
      <w:r>
        <w:rPr>
          <w:rFonts w:ascii="Times New Roman" w:hAnsi="Times New Roman"/>
          <w:color w:val="000000"/>
          <w:sz w:val="20"/>
          <w:szCs w:val="20"/>
          <w:lang w:eastAsia="it-IT"/>
        </w:rPr>
        <w:t xml:space="preserve"> prevedibili </w:t>
      </w:r>
      <w:r w:rsidRPr="002D5228">
        <w:rPr>
          <w:rFonts w:ascii="Times New Roman" w:hAnsi="Times New Roman"/>
          <w:color w:val="000000"/>
          <w:sz w:val="20"/>
          <w:szCs w:val="20"/>
          <w:lang w:eastAsia="it-IT"/>
        </w:rPr>
        <w:t>all’interno d</w:t>
      </w:r>
      <w:r>
        <w:rPr>
          <w:rFonts w:ascii="Times New Roman" w:hAnsi="Times New Roman"/>
          <w:color w:val="000000"/>
          <w:sz w:val="20"/>
          <w:szCs w:val="20"/>
          <w:lang w:eastAsia="it-IT"/>
        </w:rPr>
        <w:t>ella società, questa</w:t>
      </w:r>
      <w:r w:rsidRPr="002D5228">
        <w:rPr>
          <w:rFonts w:ascii="Times New Roman" w:hAnsi="Times New Roman"/>
          <w:color w:val="000000"/>
          <w:sz w:val="20"/>
          <w:szCs w:val="20"/>
          <w:lang w:eastAsia="it-IT"/>
        </w:rPr>
        <w:t xml:space="preserve"> è avvenuta attraverso le risposte ai questionari e alle interviste condotte all’interno dell’azienda.</w:t>
      </w:r>
      <w:r>
        <w:rPr>
          <w:rFonts w:ascii="Times New Roman" w:hAnsi="Times New Roman"/>
          <w:color w:val="000000"/>
          <w:sz w:val="20"/>
          <w:szCs w:val="20"/>
          <w:lang w:eastAsia="it-IT"/>
        </w:rPr>
        <w:t xml:space="preserve"> </w:t>
      </w:r>
    </w:p>
    <w:p w14:paraId="079E7B5E" w14:textId="2476821C" w:rsidR="00603F3F" w:rsidRDefault="00603F3F" w:rsidP="00603F3F">
      <w:pPr>
        <w:widowControl w:val="0"/>
        <w:spacing w:after="0"/>
        <w:jc w:val="both"/>
        <w:rPr>
          <w:rFonts w:ascii="Times New Roman" w:hAnsi="Times New Roman"/>
          <w:color w:val="000000"/>
          <w:sz w:val="20"/>
          <w:szCs w:val="20"/>
          <w:lang w:eastAsia="it-IT"/>
        </w:rPr>
      </w:pPr>
      <w:r w:rsidRPr="002D5228">
        <w:rPr>
          <w:rFonts w:ascii="Times New Roman" w:hAnsi="Times New Roman"/>
          <w:color w:val="000000"/>
          <w:sz w:val="20"/>
          <w:szCs w:val="20"/>
          <w:lang w:eastAsia="it-IT"/>
        </w:rPr>
        <w:t>Attenzione particolare è stata rivolta alla procedura acquisti, alla formazione delle delibere consiliari e assembleari della società e alla selezione delle risorse umane</w:t>
      </w:r>
      <w:r>
        <w:rPr>
          <w:rFonts w:ascii="Times New Roman" w:hAnsi="Times New Roman"/>
          <w:color w:val="000000"/>
          <w:sz w:val="20"/>
          <w:szCs w:val="20"/>
          <w:lang w:eastAsia="it-IT"/>
        </w:rPr>
        <w:t>.</w:t>
      </w:r>
    </w:p>
    <w:p w14:paraId="236D1F9A" w14:textId="4429F27D" w:rsidR="00603F3F" w:rsidRPr="009720F3" w:rsidRDefault="00603F3F" w:rsidP="00603F3F">
      <w:pPr>
        <w:widowControl w:val="0"/>
        <w:spacing w:after="0"/>
        <w:jc w:val="both"/>
        <w:rPr>
          <w:rFonts w:ascii="Times New Roman" w:hAnsi="Times New Roman"/>
          <w:color w:val="000000"/>
          <w:sz w:val="20"/>
          <w:szCs w:val="20"/>
          <w:lang w:eastAsia="it-IT"/>
        </w:rPr>
      </w:pPr>
    </w:p>
    <w:p w14:paraId="6E3D29F4" w14:textId="3808C05F" w:rsidR="00603F3F" w:rsidRPr="00FB1545" w:rsidRDefault="00603F3F" w:rsidP="003E3269">
      <w:pPr>
        <w:pStyle w:val="Titolo3"/>
        <w:keepNext w:val="0"/>
        <w:widowControl w:val="0"/>
        <w:numPr>
          <w:ilvl w:val="1"/>
          <w:numId w:val="31"/>
        </w:numPr>
        <w:spacing w:line="276" w:lineRule="auto"/>
        <w:ind w:left="567" w:hanging="567"/>
        <w:contextualSpacing w:val="0"/>
      </w:pPr>
      <w:bookmarkStart w:id="608" w:name="_Toc454796233"/>
      <w:bookmarkStart w:id="609" w:name="_Toc454796295"/>
      <w:bookmarkStart w:id="610" w:name="_Toc473547409"/>
      <w:bookmarkStart w:id="611" w:name="_Toc535854445"/>
      <w:r w:rsidRPr="00FB1545">
        <w:t xml:space="preserve">L’individuazione </w:t>
      </w:r>
      <w:r>
        <w:rPr>
          <w:lang w:val="it-IT"/>
        </w:rPr>
        <w:t>dei macro-processi e dei processi</w:t>
      </w:r>
      <w:r w:rsidRPr="00FB1545">
        <w:t xml:space="preserve"> a rischio</w:t>
      </w:r>
      <w:bookmarkEnd w:id="608"/>
      <w:bookmarkEnd w:id="609"/>
      <w:bookmarkEnd w:id="610"/>
      <w:bookmarkEnd w:id="611"/>
    </w:p>
    <w:p w14:paraId="3B7F79E4" w14:textId="0E89445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Nelle tabelle allegate al presente piano (</w:t>
      </w:r>
      <w:r w:rsidR="00EF0E9E" w:rsidRPr="00C11473">
        <w:rPr>
          <w:rFonts w:ascii="Times New Roman" w:hAnsi="Times New Roman"/>
          <w:b/>
          <w:color w:val="000000"/>
          <w:sz w:val="20"/>
          <w:szCs w:val="20"/>
          <w:lang w:eastAsia="it-IT"/>
        </w:rPr>
        <w:t>Allegato 4.b</w:t>
      </w:r>
      <w:r w:rsidR="00EF0E9E" w:rsidRPr="00C11473">
        <w:rPr>
          <w:rFonts w:ascii="Times New Roman" w:hAnsi="Times New Roman"/>
          <w:color w:val="000000"/>
          <w:sz w:val="20"/>
          <w:szCs w:val="20"/>
          <w:lang w:eastAsia="it-IT"/>
        </w:rPr>
        <w:t xml:space="preserve">; </w:t>
      </w:r>
      <w:r w:rsidR="00EA10F7" w:rsidRPr="00C11473">
        <w:rPr>
          <w:rFonts w:ascii="Times New Roman" w:hAnsi="Times New Roman"/>
          <w:b/>
          <w:color w:val="000000"/>
          <w:sz w:val="20"/>
          <w:szCs w:val="20"/>
          <w:lang w:eastAsia="it-IT"/>
        </w:rPr>
        <w:t>A</w:t>
      </w:r>
      <w:r w:rsidRPr="00C11473">
        <w:rPr>
          <w:rFonts w:ascii="Times New Roman" w:hAnsi="Times New Roman"/>
          <w:b/>
          <w:color w:val="000000"/>
          <w:sz w:val="20"/>
          <w:szCs w:val="20"/>
          <w:lang w:eastAsia="it-IT"/>
        </w:rPr>
        <w:t>llegato 4c.1 e 4c.2</w:t>
      </w:r>
      <w:r w:rsidRPr="00C11473">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 si riporta</w:t>
      </w:r>
      <w:r>
        <w:rPr>
          <w:rFonts w:ascii="Times New Roman" w:hAnsi="Times New Roman"/>
          <w:color w:val="000000"/>
          <w:sz w:val="20"/>
          <w:szCs w:val="20"/>
          <w:lang w:eastAsia="it-IT"/>
        </w:rPr>
        <w:t>no i risultati</w:t>
      </w:r>
      <w:r w:rsidRPr="00CD7FBE">
        <w:rPr>
          <w:rFonts w:ascii="Times New Roman" w:hAnsi="Times New Roman"/>
          <w:color w:val="000000"/>
          <w:sz w:val="20"/>
          <w:szCs w:val="20"/>
          <w:lang w:eastAsia="it-IT"/>
        </w:rPr>
        <w:t xml:space="preserve"> relativ</w:t>
      </w:r>
      <w:r>
        <w:rPr>
          <w:rFonts w:ascii="Times New Roman" w:hAnsi="Times New Roman"/>
          <w:color w:val="000000"/>
          <w:sz w:val="20"/>
          <w:szCs w:val="20"/>
          <w:lang w:eastAsia="it-IT"/>
        </w:rPr>
        <w:t>i</w:t>
      </w:r>
      <w:r w:rsidRPr="00CD7FBE">
        <w:rPr>
          <w:rFonts w:ascii="Times New Roman" w:hAnsi="Times New Roman"/>
          <w:color w:val="000000"/>
          <w:sz w:val="20"/>
          <w:szCs w:val="20"/>
          <w:lang w:eastAsia="it-IT"/>
        </w:rPr>
        <w:t xml:space="preserve"> al livello di esposizione al rischio di ogni proc</w:t>
      </w:r>
      <w:r w:rsidR="00D85816">
        <w:rPr>
          <w:rFonts w:ascii="Times New Roman" w:hAnsi="Times New Roman"/>
          <w:color w:val="000000"/>
          <w:sz w:val="20"/>
          <w:szCs w:val="20"/>
          <w:lang w:eastAsia="it-IT"/>
        </w:rPr>
        <w:t>esso organizzativo, le aree</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strutture</w:t>
      </w:r>
      <w:r w:rsidRPr="00CD7FBE">
        <w:rPr>
          <w:rFonts w:ascii="Times New Roman" w:hAnsi="Times New Roman"/>
          <w:color w:val="000000"/>
          <w:sz w:val="20"/>
          <w:szCs w:val="20"/>
          <w:lang w:eastAsia="it-IT"/>
        </w:rPr>
        <w:t xml:space="preserve"> coinvolte nella valutazione, i relativi fattori abilitanti e le relative cause, le misure di prevenzione obbligatorie ed ulteriori misure individuate. </w:t>
      </w:r>
    </w:p>
    <w:p w14:paraId="04BE7669" w14:textId="0AC9A075" w:rsidR="00603F3F"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Dett</w:t>
      </w:r>
      <w:r>
        <w:rPr>
          <w:rFonts w:ascii="Times New Roman" w:hAnsi="Times New Roman"/>
          <w:color w:val="000000"/>
          <w:sz w:val="20"/>
          <w:szCs w:val="20"/>
          <w:lang w:eastAsia="it-IT"/>
        </w:rPr>
        <w:t>e</w:t>
      </w:r>
      <w:r w:rsidRPr="00CD7FBE">
        <w:rPr>
          <w:rFonts w:ascii="Times New Roman" w:hAnsi="Times New Roman"/>
          <w:color w:val="000000"/>
          <w:sz w:val="20"/>
          <w:szCs w:val="20"/>
          <w:lang w:eastAsia="it-IT"/>
        </w:rPr>
        <w:t xml:space="preserve"> tabell</w:t>
      </w:r>
      <w:r>
        <w:rPr>
          <w:rFonts w:ascii="Times New Roman" w:hAnsi="Times New Roman"/>
          <w:color w:val="000000"/>
          <w:sz w:val="20"/>
          <w:szCs w:val="20"/>
          <w:lang w:eastAsia="it-IT"/>
        </w:rPr>
        <w:t>e</w:t>
      </w:r>
      <w:r w:rsidRPr="00CD7FBE">
        <w:rPr>
          <w:rFonts w:ascii="Times New Roman" w:hAnsi="Times New Roman"/>
          <w:color w:val="000000"/>
          <w:sz w:val="20"/>
          <w:szCs w:val="20"/>
          <w:lang w:eastAsia="it-IT"/>
        </w:rPr>
        <w:t xml:space="preserve"> cont</w:t>
      </w:r>
      <w:r>
        <w:rPr>
          <w:rFonts w:ascii="Times New Roman" w:hAnsi="Times New Roman"/>
          <w:color w:val="000000"/>
          <w:sz w:val="20"/>
          <w:szCs w:val="20"/>
          <w:lang w:eastAsia="it-IT"/>
        </w:rPr>
        <w:t>engono</w:t>
      </w:r>
      <w:r w:rsidRPr="00CD7FBE">
        <w:rPr>
          <w:rFonts w:ascii="Times New Roman" w:hAnsi="Times New Roman"/>
          <w:color w:val="000000"/>
          <w:sz w:val="20"/>
          <w:szCs w:val="20"/>
          <w:lang w:eastAsia="it-IT"/>
        </w:rPr>
        <w:t xml:space="preserve"> le risultanze del </w:t>
      </w:r>
      <w:r w:rsidRPr="00CD7FBE">
        <w:rPr>
          <w:rFonts w:ascii="Times New Roman" w:hAnsi="Times New Roman"/>
          <w:i/>
          <w:color w:val="000000"/>
          <w:sz w:val="20"/>
          <w:szCs w:val="20"/>
          <w:lang w:eastAsia="it-IT"/>
        </w:rPr>
        <w:t>risk assessment</w:t>
      </w:r>
      <w:r w:rsidRPr="00CD7FBE">
        <w:rPr>
          <w:rFonts w:ascii="Times New Roman" w:hAnsi="Times New Roman"/>
          <w:color w:val="000000"/>
          <w:sz w:val="20"/>
          <w:szCs w:val="20"/>
          <w:lang w:eastAsia="it-IT"/>
        </w:rPr>
        <w:t xml:space="preserve"> (aggregato ex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231/2001 e ss.mm.ii., L. 190/2012 e decreti collegati).</w:t>
      </w:r>
      <w:r w:rsidRPr="00401E0D">
        <w:rPr>
          <w:rFonts w:ascii="Times New Roman" w:hAnsi="Times New Roman"/>
          <w:color w:val="000000"/>
          <w:sz w:val="20"/>
          <w:szCs w:val="20"/>
          <w:lang w:eastAsia="it-IT"/>
        </w:rPr>
        <w:t xml:space="preserve"> </w:t>
      </w:r>
    </w:p>
    <w:p w14:paraId="15A6B92F" w14:textId="7D93B60E" w:rsidR="00603F3F" w:rsidRDefault="00603F3F" w:rsidP="00603F3F">
      <w:pPr>
        <w:widowControl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Nello specifico, </w:t>
      </w:r>
      <w:r w:rsidRPr="00C11473">
        <w:rPr>
          <w:rFonts w:ascii="Times New Roman" w:hAnsi="Times New Roman"/>
          <w:color w:val="000000"/>
          <w:sz w:val="20"/>
          <w:szCs w:val="20"/>
          <w:lang w:eastAsia="it-IT"/>
        </w:rPr>
        <w:t>nell’</w:t>
      </w:r>
      <w:r w:rsidRPr="00C11473">
        <w:rPr>
          <w:rFonts w:ascii="Times New Roman" w:hAnsi="Times New Roman"/>
          <w:b/>
          <w:color w:val="000000"/>
          <w:sz w:val="20"/>
          <w:szCs w:val="20"/>
          <w:lang w:eastAsia="it-IT"/>
        </w:rPr>
        <w:t>Allegato 4c.1</w:t>
      </w:r>
      <w:r w:rsidRPr="00C11473">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l’analisi e mappatura dei rischi è articolata per macro-processi, processi e sub-processi secondo lo standard UNI ISO 37001:2016.</w:t>
      </w:r>
    </w:p>
    <w:p w14:paraId="062BDB2B" w14:textId="3F1CC79A" w:rsidR="00603F3F" w:rsidRDefault="00603F3F" w:rsidP="00603F3F">
      <w:pPr>
        <w:widowControl w:val="0"/>
        <w:spacing w:after="0"/>
        <w:jc w:val="both"/>
        <w:rPr>
          <w:rFonts w:ascii="Times New Roman" w:hAnsi="Times New Roman"/>
          <w:color w:val="000000"/>
          <w:sz w:val="20"/>
          <w:szCs w:val="20"/>
          <w:lang w:eastAsia="it-IT"/>
        </w:rPr>
      </w:pPr>
      <w:r w:rsidRPr="00C11473">
        <w:rPr>
          <w:rFonts w:ascii="Times New Roman" w:hAnsi="Times New Roman"/>
          <w:color w:val="000000"/>
          <w:sz w:val="20"/>
          <w:szCs w:val="20"/>
          <w:lang w:eastAsia="it-IT"/>
        </w:rPr>
        <w:t>Nell’</w:t>
      </w:r>
      <w:r w:rsidRPr="00C11473">
        <w:rPr>
          <w:rFonts w:ascii="Times New Roman" w:hAnsi="Times New Roman"/>
          <w:b/>
          <w:color w:val="000000"/>
          <w:sz w:val="20"/>
          <w:szCs w:val="20"/>
          <w:lang w:eastAsia="it-IT"/>
        </w:rPr>
        <w:t>Allegato</w:t>
      </w:r>
      <w:r w:rsidRPr="00C11473">
        <w:rPr>
          <w:rFonts w:ascii="Times New Roman" w:hAnsi="Times New Roman"/>
          <w:color w:val="000000"/>
          <w:sz w:val="20"/>
          <w:szCs w:val="20"/>
          <w:lang w:eastAsia="it-IT"/>
        </w:rPr>
        <w:t xml:space="preserve"> </w:t>
      </w:r>
      <w:r w:rsidRPr="00C11473">
        <w:rPr>
          <w:rFonts w:ascii="Times New Roman" w:hAnsi="Times New Roman"/>
          <w:b/>
          <w:color w:val="000000"/>
          <w:sz w:val="20"/>
          <w:szCs w:val="20"/>
          <w:lang w:eastAsia="it-IT"/>
        </w:rPr>
        <w:t>4c.2</w:t>
      </w:r>
      <w:r w:rsidRPr="00C11473">
        <w:rPr>
          <w:rFonts w:ascii="Times New Roman" w:hAnsi="Times New Roman"/>
          <w:color w:val="000000"/>
          <w:sz w:val="20"/>
          <w:szCs w:val="20"/>
          <w:lang w:eastAsia="it-IT"/>
        </w:rPr>
        <w:t>, l’analisi</w:t>
      </w:r>
      <w:r>
        <w:rPr>
          <w:rFonts w:ascii="Times New Roman" w:hAnsi="Times New Roman"/>
          <w:color w:val="000000"/>
          <w:sz w:val="20"/>
          <w:szCs w:val="20"/>
          <w:lang w:eastAsia="it-IT"/>
        </w:rPr>
        <w:t xml:space="preserve"> e mappatura dei rischi è</w:t>
      </w:r>
      <w:r w:rsidRPr="002D5228">
        <w:rPr>
          <w:rFonts w:ascii="Times New Roman" w:hAnsi="Times New Roman"/>
          <w:color w:val="000000"/>
          <w:sz w:val="20"/>
          <w:szCs w:val="20"/>
          <w:lang w:eastAsia="it-IT"/>
        </w:rPr>
        <w:t xml:space="preserve"> stata</w:t>
      </w:r>
      <w:r>
        <w:rPr>
          <w:rFonts w:ascii="Times New Roman" w:hAnsi="Times New Roman"/>
          <w:color w:val="000000"/>
          <w:sz w:val="20"/>
          <w:szCs w:val="20"/>
          <w:lang w:eastAsia="it-IT"/>
        </w:rPr>
        <w:t xml:space="preserve"> invece</w:t>
      </w:r>
      <w:r w:rsidRPr="002D5228">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articolata seguendo l’attuale organigramma aziendale che prevede</w:t>
      </w:r>
      <w:r w:rsidRPr="002D5228">
        <w:rPr>
          <w:rFonts w:ascii="Times New Roman" w:hAnsi="Times New Roman"/>
          <w:color w:val="000000"/>
          <w:sz w:val="20"/>
          <w:szCs w:val="20"/>
          <w:lang w:eastAsia="it-IT"/>
        </w:rPr>
        <w:t xml:space="preserve"> </w:t>
      </w:r>
      <w:r w:rsidR="00A714BB">
        <w:rPr>
          <w:rFonts w:ascii="Times New Roman" w:hAnsi="Times New Roman"/>
          <w:color w:val="000000"/>
          <w:sz w:val="20"/>
          <w:szCs w:val="20"/>
          <w:lang w:eastAsia="it-IT"/>
        </w:rPr>
        <w:t>tre settori e 4 Divisioni.</w:t>
      </w:r>
      <w:r w:rsidRPr="000E4FAB">
        <w:rPr>
          <w:rFonts w:ascii="Times New Roman" w:hAnsi="Times New Roman"/>
          <w:color w:val="000000"/>
          <w:sz w:val="20"/>
          <w:szCs w:val="20"/>
          <w:lang w:eastAsia="it-IT"/>
        </w:rPr>
        <w:t xml:space="preserve"> </w:t>
      </w:r>
    </w:p>
    <w:p w14:paraId="0938849B" w14:textId="28116237" w:rsidR="00603F3F" w:rsidRDefault="00603F3F" w:rsidP="00603F3F">
      <w:pPr>
        <w:widowControl w:val="0"/>
        <w:spacing w:after="0"/>
        <w:jc w:val="both"/>
        <w:rPr>
          <w:rFonts w:ascii="Times New Roman" w:hAnsi="Times New Roman"/>
          <w:color w:val="000000"/>
          <w:sz w:val="20"/>
          <w:szCs w:val="20"/>
          <w:lang w:eastAsia="it-IT"/>
        </w:rPr>
      </w:pPr>
      <w:r w:rsidRPr="00584CED">
        <w:rPr>
          <w:rFonts w:ascii="Times New Roman" w:hAnsi="Times New Roman"/>
          <w:color w:val="000000"/>
          <w:sz w:val="20"/>
          <w:szCs w:val="20"/>
          <w:lang w:eastAsia="it-IT"/>
        </w:rPr>
        <w:t>Il giudizio di valutazione</w:t>
      </w:r>
      <w:r>
        <w:rPr>
          <w:rFonts w:ascii="Times New Roman" w:hAnsi="Times New Roman"/>
          <w:color w:val="000000"/>
          <w:sz w:val="20"/>
          <w:szCs w:val="20"/>
          <w:lang w:eastAsia="it-IT"/>
        </w:rPr>
        <w:t xml:space="preserve"> del rischio</w:t>
      </w:r>
      <w:r w:rsidRPr="00584CED">
        <w:rPr>
          <w:rFonts w:ascii="Times New Roman" w:hAnsi="Times New Roman"/>
          <w:color w:val="000000"/>
          <w:sz w:val="20"/>
          <w:szCs w:val="20"/>
          <w:lang w:eastAsia="it-IT"/>
        </w:rPr>
        <w:t xml:space="preserve">, con </w:t>
      </w:r>
      <w:r>
        <w:rPr>
          <w:rFonts w:ascii="Times New Roman" w:hAnsi="Times New Roman"/>
          <w:color w:val="000000"/>
          <w:sz w:val="20"/>
          <w:szCs w:val="20"/>
          <w:lang w:eastAsia="it-IT"/>
        </w:rPr>
        <w:t>l’</w:t>
      </w:r>
      <w:r w:rsidRPr="00584CED">
        <w:rPr>
          <w:rFonts w:ascii="Times New Roman" w:hAnsi="Times New Roman"/>
          <w:color w:val="000000"/>
          <w:sz w:val="20"/>
          <w:szCs w:val="20"/>
          <w:lang w:eastAsia="it-IT"/>
        </w:rPr>
        <w:t>attribuzione del livel</w:t>
      </w:r>
      <w:r>
        <w:rPr>
          <w:rFonts w:ascii="Times New Roman" w:hAnsi="Times New Roman"/>
          <w:color w:val="000000"/>
          <w:sz w:val="20"/>
          <w:szCs w:val="20"/>
          <w:lang w:eastAsia="it-IT"/>
        </w:rPr>
        <w:t xml:space="preserve">lo, deriva dal valore numerico </w:t>
      </w:r>
      <w:r w:rsidRPr="00584CED">
        <w:rPr>
          <w:rFonts w:ascii="Times New Roman" w:hAnsi="Times New Roman"/>
          <w:color w:val="000000"/>
          <w:sz w:val="20"/>
          <w:szCs w:val="20"/>
          <w:lang w:eastAsia="it-IT"/>
        </w:rPr>
        <w:t xml:space="preserve">corrispondente al prodotto tra la probabilità di verificazione dell’evento rischioso e la gravità delle sue conseguenze, secondo </w:t>
      </w:r>
      <w:r>
        <w:rPr>
          <w:rFonts w:ascii="Times New Roman" w:hAnsi="Times New Roman"/>
          <w:color w:val="000000"/>
          <w:sz w:val="20"/>
          <w:szCs w:val="20"/>
          <w:lang w:eastAsia="it-IT"/>
        </w:rPr>
        <w:t xml:space="preserve">la matrice </w:t>
      </w:r>
      <w:r w:rsidRPr="00584CED">
        <w:rPr>
          <w:rFonts w:ascii="Times New Roman" w:hAnsi="Times New Roman"/>
          <w:color w:val="000000"/>
          <w:sz w:val="20"/>
          <w:szCs w:val="20"/>
          <w:lang w:eastAsia="it-IT"/>
        </w:rPr>
        <w:t xml:space="preserve">di calcolo dei valori numerici del rischio </w:t>
      </w:r>
      <w:r>
        <w:rPr>
          <w:rFonts w:ascii="Times New Roman" w:hAnsi="Times New Roman"/>
          <w:color w:val="000000"/>
          <w:sz w:val="20"/>
          <w:szCs w:val="20"/>
          <w:lang w:eastAsia="it-IT"/>
        </w:rPr>
        <w:t>e de</w:t>
      </w:r>
      <w:r w:rsidRPr="00584CED">
        <w:rPr>
          <w:rFonts w:ascii="Times New Roman" w:hAnsi="Times New Roman"/>
          <w:color w:val="000000"/>
          <w:sz w:val="20"/>
          <w:szCs w:val="20"/>
          <w:lang w:eastAsia="it-IT"/>
        </w:rPr>
        <w:t>i relativi livelli</w:t>
      </w:r>
      <w:r>
        <w:rPr>
          <w:rFonts w:ascii="Times New Roman" w:hAnsi="Times New Roman"/>
          <w:color w:val="000000"/>
          <w:sz w:val="20"/>
          <w:szCs w:val="20"/>
          <w:lang w:eastAsia="it-IT"/>
        </w:rPr>
        <w:t xml:space="preserve"> di seguito riportata.</w:t>
      </w:r>
    </w:p>
    <w:p w14:paraId="2EDA7F34" w14:textId="0551F2DD" w:rsidR="00603F3F" w:rsidRDefault="00603F3F" w:rsidP="00603F3F">
      <w:pPr>
        <w:widowControl w:val="0"/>
        <w:spacing w:after="0"/>
        <w:jc w:val="both"/>
        <w:rPr>
          <w:rFonts w:ascii="Times New Roman" w:hAnsi="Times New Roman"/>
          <w:color w:val="000000"/>
          <w:sz w:val="20"/>
          <w:szCs w:val="20"/>
          <w:lang w:eastAsia="it-IT"/>
        </w:rPr>
      </w:pPr>
    </w:p>
    <w:p w14:paraId="33DEB9AA" w14:textId="6C1713B4" w:rsidR="00603F3F" w:rsidRPr="00CD7FBE" w:rsidRDefault="00603F3F" w:rsidP="00603F3F">
      <w:pPr>
        <w:widowControl w:val="0"/>
        <w:spacing w:after="0"/>
        <w:jc w:val="both"/>
        <w:rPr>
          <w:rFonts w:ascii="Times New Roman" w:hAnsi="Times New Roman"/>
          <w:color w:val="000000"/>
          <w:sz w:val="20"/>
          <w:szCs w:val="20"/>
          <w:lang w:eastAsia="it-IT"/>
        </w:rPr>
      </w:pPr>
      <w:r>
        <w:rPr>
          <w:noProof/>
          <w:lang w:eastAsia="it-IT"/>
        </w:rPr>
        <w:drawing>
          <wp:inline distT="0" distB="0" distL="0" distR="0" wp14:anchorId="4C5BC073" wp14:editId="4DBEE377">
            <wp:extent cx="5836722" cy="3045448"/>
            <wp:effectExtent l="0" t="0" r="0" b="3175"/>
            <wp:docPr id="102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rotWithShape="1">
                    <a:blip r:embed="rId17">
                      <a:extLst>
                        <a:ext uri="{28A0092B-C50C-407E-A947-70E740481C1C}">
                          <a14:useLocalDpi xmlns:a14="http://schemas.microsoft.com/office/drawing/2010/main" val="0"/>
                        </a:ext>
                      </a:extLst>
                    </a:blip>
                    <a:srcRect l="536" t="21073" r="-536" b="9605"/>
                    <a:stretch/>
                  </pic:blipFill>
                  <pic:spPr bwMode="auto">
                    <a:xfrm>
                      <a:off x="0" y="0"/>
                      <a:ext cx="5852640" cy="3053754"/>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0DEDC170" w14:textId="749CB658"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3791B">
        <w:rPr>
          <w:rFonts w:ascii="Times New Roman" w:hAnsi="Times New Roman"/>
          <w:color w:val="000000"/>
          <w:sz w:val="20"/>
          <w:szCs w:val="20"/>
          <w:lang w:eastAsia="it-IT"/>
        </w:rPr>
        <w:t>I livelli di rischio degli eventi individuati come pericolosi, attraverso i questionari e le interviste, sono tre (alto, medio e basso</w:t>
      </w:r>
      <w:r>
        <w:rPr>
          <w:rFonts w:ascii="Times New Roman" w:hAnsi="Times New Roman"/>
          <w:color w:val="000000"/>
          <w:sz w:val="20"/>
          <w:szCs w:val="20"/>
          <w:lang w:eastAsia="it-IT"/>
        </w:rPr>
        <w:t>) e corrispondono</w:t>
      </w:r>
      <w:r w:rsidRPr="00B3791B">
        <w:rPr>
          <w:rFonts w:ascii="Times New Roman" w:hAnsi="Times New Roman"/>
          <w:color w:val="000000"/>
          <w:sz w:val="20"/>
          <w:szCs w:val="20"/>
          <w:lang w:eastAsia="it-IT"/>
        </w:rPr>
        <w:t xml:space="preserve"> ai tre colori </w:t>
      </w:r>
      <w:r>
        <w:rPr>
          <w:rFonts w:ascii="Times New Roman" w:hAnsi="Times New Roman"/>
          <w:color w:val="000000"/>
          <w:sz w:val="20"/>
          <w:szCs w:val="20"/>
          <w:lang w:eastAsia="it-IT"/>
        </w:rPr>
        <w:t>(</w:t>
      </w:r>
      <w:r w:rsidRPr="00B3791B">
        <w:rPr>
          <w:rFonts w:ascii="Times New Roman" w:hAnsi="Times New Roman"/>
          <w:color w:val="000000"/>
          <w:sz w:val="20"/>
          <w:szCs w:val="20"/>
          <w:lang w:eastAsia="it-IT"/>
        </w:rPr>
        <w:t>rosso, giallo e verde).</w:t>
      </w:r>
    </w:p>
    <w:p w14:paraId="3E7D22CA"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2EE5C73" w14:textId="77777777" w:rsidR="00603F3F" w:rsidRPr="00D85816" w:rsidRDefault="00603F3F" w:rsidP="00603F3F">
      <w:pPr>
        <w:pStyle w:val="Titolo2"/>
        <w:keepNext w:val="0"/>
        <w:spacing w:line="276" w:lineRule="auto"/>
        <w:ind w:left="426" w:hanging="426"/>
        <w:rPr>
          <w:color w:val="0070C0"/>
        </w:rPr>
      </w:pPr>
      <w:bookmarkStart w:id="612" w:name="_Toc473547411"/>
      <w:bookmarkStart w:id="613" w:name="_Toc418505938"/>
      <w:bookmarkStart w:id="614" w:name="_Toc454796234"/>
      <w:bookmarkStart w:id="615" w:name="_Toc454796296"/>
      <w:bookmarkStart w:id="616" w:name="_Toc535854447"/>
      <w:r w:rsidRPr="00D85816">
        <w:rPr>
          <w:color w:val="0070C0"/>
        </w:rPr>
        <w:t>Le misure di trattamento del rischio</w:t>
      </w:r>
      <w:bookmarkEnd w:id="612"/>
      <w:bookmarkEnd w:id="613"/>
      <w:bookmarkEnd w:id="614"/>
      <w:bookmarkEnd w:id="615"/>
      <w:bookmarkEnd w:id="616"/>
    </w:p>
    <w:p w14:paraId="7BD0C96B" w14:textId="195A57F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Com’è stato già precisato nei precedenti paragrafi, in considerazione dell’organizzazione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si è ritenuto di fare riferimento, in via prioritaria, alle aree di rischio comuni e obbligatorie, di cui all’art. 1, comma 16, della L. n. 190/2012 e all’All. 2 del PNA, cui si è deciso di aggiungere ulteriori aree operando, quindi, un’analisi dei processi basata su una individuazione più accurata ed estesa di quanto indicato nel citato All. 2 del PNA, così da tener conto delle specificità dell’attività aziendale. Come precisato nel PNA (All. 1, pag. 30), le decisioni in merito alla priorità del trattamento devono basarsi essenzialmente su: </w:t>
      </w:r>
    </w:p>
    <w:p w14:paraId="13CC133F" w14:textId="668D0A44"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ab/>
        <w:t>livello del rischi</w:t>
      </w:r>
      <w:r w:rsidR="00A714BB">
        <w:rPr>
          <w:rFonts w:ascii="Times New Roman" w:hAnsi="Times New Roman"/>
          <w:color w:val="000000"/>
          <w:sz w:val="20"/>
          <w:szCs w:val="20"/>
          <w:lang w:eastAsia="it-IT"/>
        </w:rPr>
        <w:t>o</w:t>
      </w:r>
      <w:r w:rsidRPr="00CD7FBE">
        <w:rPr>
          <w:rFonts w:ascii="Times New Roman" w:hAnsi="Times New Roman"/>
          <w:color w:val="000000"/>
          <w:sz w:val="20"/>
          <w:szCs w:val="20"/>
          <w:lang w:eastAsia="it-IT"/>
        </w:rPr>
        <w:t xml:space="preserve">: maggiore è il livello, maggiore è la priorità di trattamenti; </w:t>
      </w:r>
    </w:p>
    <w:p w14:paraId="170B17A7"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b)</w:t>
      </w:r>
      <w:r w:rsidRPr="00CD7FBE">
        <w:rPr>
          <w:rFonts w:ascii="Times New Roman" w:hAnsi="Times New Roman"/>
          <w:color w:val="000000"/>
          <w:sz w:val="20"/>
          <w:szCs w:val="20"/>
          <w:lang w:eastAsia="it-IT"/>
        </w:rPr>
        <w:tab/>
        <w:t xml:space="preserve">obbligatorietà della misura: va data priorità alla misura obbligatoria rispetto a quella ulteriore; </w:t>
      </w:r>
    </w:p>
    <w:p w14:paraId="1F972B40"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w:t>
      </w:r>
      <w:r w:rsidRPr="00CD7FBE">
        <w:rPr>
          <w:rFonts w:ascii="Times New Roman" w:hAnsi="Times New Roman"/>
          <w:color w:val="000000"/>
          <w:sz w:val="20"/>
          <w:szCs w:val="20"/>
          <w:lang w:eastAsia="it-IT"/>
        </w:rPr>
        <w:tab/>
        <w:t xml:space="preserve">impatto organizzativo e finanziario connesso all’implementazione della misura. </w:t>
      </w:r>
    </w:p>
    <w:p w14:paraId="0562F7F7"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0CF7DAC" w14:textId="5D91B950"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Conseguentemente, considerato che l’attività di gestione del rischio si è concentrata prevalentemente sulle aree di rischio obbligatorie, tenendo conto delle peculiarità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che le misure individuate sono prevalentemente riconducibili a quelle obbligatorie, nella declinazione delle priorità di trattamento ci si atterrà alle valutazioni che emergono dalle schede riassuntive (di cui al precedente paragrafo), tenendo eventualmente conto, se incidente in misura rilevante, dell’impatto organizzativo e finanziario connesso all’implementazione delle singole misure. </w:t>
      </w:r>
    </w:p>
    <w:p w14:paraId="7314F923"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6A6A2C3" w14:textId="15C21C79" w:rsidR="00603F3F" w:rsidRPr="00B11ED7" w:rsidRDefault="00A714BB" w:rsidP="00603F3F">
      <w:pPr>
        <w:widowControl w:val="0"/>
        <w:autoSpaceDE w:val="0"/>
        <w:autoSpaceDN w:val="0"/>
        <w:adjustRightInd w:val="0"/>
        <w:spacing w:after="0"/>
        <w:jc w:val="both"/>
        <w:rPr>
          <w:rFonts w:ascii="Times New Roman" w:hAnsi="Times New Roman"/>
          <w:color w:val="000000"/>
          <w:sz w:val="20"/>
          <w:szCs w:val="20"/>
          <w:lang w:eastAsia="it-IT"/>
        </w:rPr>
      </w:pPr>
      <w:r w:rsidRPr="00B11ED7">
        <w:rPr>
          <w:rFonts w:ascii="Times New Roman" w:hAnsi="Times New Roman"/>
          <w:sz w:val="20"/>
          <w:szCs w:val="20"/>
          <w:lang w:eastAsia="it-IT"/>
        </w:rPr>
        <w:t xml:space="preserve">La società sta aggiornando il </w:t>
      </w:r>
      <w:r w:rsidR="00603F3F" w:rsidRPr="0013041B">
        <w:rPr>
          <w:rFonts w:ascii="Times New Roman" w:hAnsi="Times New Roman"/>
          <w:b/>
          <w:sz w:val="20"/>
          <w:szCs w:val="20"/>
          <w:lang w:eastAsia="it-IT"/>
        </w:rPr>
        <w:t>MOG</w:t>
      </w:r>
      <w:r w:rsidR="00603F3F" w:rsidRPr="00B11ED7">
        <w:rPr>
          <w:rFonts w:ascii="Times New Roman" w:hAnsi="Times New Roman"/>
          <w:sz w:val="20"/>
          <w:szCs w:val="20"/>
          <w:lang w:eastAsia="it-IT"/>
        </w:rPr>
        <w:t xml:space="preserve"> a cui si fa rinvio, in particolare, per ciò che concerne le misure di prevenzione, alla parte</w:t>
      </w:r>
      <w:r w:rsidR="00603F3F" w:rsidRPr="00B11ED7">
        <w:rPr>
          <w:rFonts w:ascii="Times New Roman" w:hAnsi="Times New Roman"/>
          <w:color w:val="FF0000"/>
          <w:sz w:val="20"/>
          <w:szCs w:val="20"/>
          <w:lang w:eastAsia="it-IT"/>
        </w:rPr>
        <w:t xml:space="preserve"> </w:t>
      </w:r>
      <w:r w:rsidR="00603F3F" w:rsidRPr="00B11ED7">
        <w:rPr>
          <w:rFonts w:ascii="Times New Roman" w:hAnsi="Times New Roman"/>
          <w:color w:val="000000"/>
          <w:sz w:val="20"/>
          <w:szCs w:val="20"/>
          <w:lang w:eastAsia="it-IT"/>
        </w:rPr>
        <w:t>contenente i seguenti allegati:</w:t>
      </w:r>
    </w:p>
    <w:p w14:paraId="41BECDCF" w14:textId="0F267798" w:rsidR="00603F3F" w:rsidRPr="0057039B" w:rsidRDefault="00603F3F" w:rsidP="00603F3F">
      <w:pPr>
        <w:widowControl w:val="0"/>
        <w:autoSpaceDE w:val="0"/>
        <w:autoSpaceDN w:val="0"/>
        <w:adjustRightInd w:val="0"/>
        <w:spacing w:after="0"/>
        <w:ind w:left="851" w:hanging="851"/>
        <w:jc w:val="both"/>
        <w:rPr>
          <w:rFonts w:ascii="Times New Roman" w:hAnsi="Times New Roman"/>
          <w:color w:val="000000"/>
          <w:sz w:val="20"/>
          <w:szCs w:val="20"/>
          <w:lang w:eastAsia="it-IT"/>
        </w:rPr>
      </w:pPr>
      <w:r w:rsidRPr="0057039B">
        <w:rPr>
          <w:rFonts w:ascii="Times New Roman" w:hAnsi="Times New Roman"/>
          <w:b/>
          <w:color w:val="000000"/>
          <w:sz w:val="20"/>
          <w:szCs w:val="20"/>
          <w:lang w:eastAsia="it-IT"/>
        </w:rPr>
        <w:t>All</w:t>
      </w:r>
      <w:r w:rsidR="0013041B" w:rsidRPr="0057039B">
        <w:rPr>
          <w:rFonts w:ascii="Times New Roman" w:hAnsi="Times New Roman"/>
          <w:b/>
          <w:color w:val="000000"/>
          <w:sz w:val="20"/>
          <w:szCs w:val="20"/>
          <w:lang w:eastAsia="it-IT"/>
        </w:rPr>
        <w:t>egato</w:t>
      </w:r>
      <w:r w:rsidRPr="0057039B">
        <w:rPr>
          <w:rFonts w:ascii="Times New Roman" w:hAnsi="Times New Roman"/>
          <w:b/>
          <w:color w:val="000000"/>
          <w:sz w:val="20"/>
          <w:szCs w:val="20"/>
          <w:lang w:eastAsia="it-IT"/>
        </w:rPr>
        <w:t>. n. 1</w:t>
      </w:r>
      <w:r w:rsidRPr="0057039B">
        <w:rPr>
          <w:rFonts w:ascii="Times New Roman" w:hAnsi="Times New Roman"/>
          <w:color w:val="000000"/>
          <w:sz w:val="20"/>
          <w:szCs w:val="20"/>
          <w:lang w:eastAsia="it-IT"/>
        </w:rPr>
        <w:t xml:space="preserve"> -</w:t>
      </w:r>
      <w:r w:rsidRPr="0057039B">
        <w:rPr>
          <w:rFonts w:ascii="Times New Roman" w:hAnsi="Times New Roman"/>
          <w:color w:val="000000"/>
          <w:sz w:val="20"/>
          <w:szCs w:val="20"/>
          <w:lang w:eastAsia="it-IT"/>
        </w:rPr>
        <w:tab/>
        <w:t>TABELLA REATI PRESUPPOSTO</w:t>
      </w:r>
    </w:p>
    <w:p w14:paraId="4FEA562A" w14:textId="2013317C" w:rsidR="00603F3F" w:rsidRPr="0057039B" w:rsidRDefault="00603F3F" w:rsidP="00603F3F">
      <w:pPr>
        <w:widowControl w:val="0"/>
        <w:autoSpaceDE w:val="0"/>
        <w:autoSpaceDN w:val="0"/>
        <w:adjustRightInd w:val="0"/>
        <w:spacing w:after="0"/>
        <w:ind w:left="851" w:hanging="851"/>
        <w:jc w:val="both"/>
        <w:rPr>
          <w:rFonts w:ascii="Times New Roman" w:hAnsi="Times New Roman"/>
          <w:color w:val="000000"/>
          <w:sz w:val="20"/>
          <w:szCs w:val="20"/>
          <w:lang w:eastAsia="it-IT"/>
        </w:rPr>
      </w:pPr>
      <w:r w:rsidRPr="0057039B">
        <w:rPr>
          <w:rFonts w:ascii="Times New Roman" w:hAnsi="Times New Roman"/>
          <w:b/>
          <w:color w:val="000000"/>
          <w:sz w:val="20"/>
          <w:szCs w:val="20"/>
          <w:lang w:eastAsia="it-IT"/>
        </w:rPr>
        <w:t>All</w:t>
      </w:r>
      <w:r w:rsidR="0013041B" w:rsidRPr="0057039B">
        <w:rPr>
          <w:rFonts w:ascii="Times New Roman" w:hAnsi="Times New Roman"/>
          <w:b/>
          <w:color w:val="000000"/>
          <w:sz w:val="20"/>
          <w:szCs w:val="20"/>
          <w:lang w:eastAsia="it-IT"/>
        </w:rPr>
        <w:t>egato</w:t>
      </w:r>
      <w:r w:rsidRPr="0057039B">
        <w:rPr>
          <w:rFonts w:ascii="Times New Roman" w:hAnsi="Times New Roman"/>
          <w:b/>
          <w:color w:val="000000"/>
          <w:sz w:val="20"/>
          <w:szCs w:val="20"/>
          <w:lang w:eastAsia="it-IT"/>
        </w:rPr>
        <w:t>. n. 2 -</w:t>
      </w:r>
      <w:r w:rsidRPr="0057039B">
        <w:rPr>
          <w:rFonts w:ascii="Times New Roman" w:hAnsi="Times New Roman"/>
          <w:color w:val="000000"/>
          <w:sz w:val="20"/>
          <w:szCs w:val="20"/>
          <w:lang w:eastAsia="it-IT"/>
        </w:rPr>
        <w:tab/>
        <w:t>CODICE ETICO, CODICE DI COMPORTAMENTO, CODICE SANZIONATORIO</w:t>
      </w:r>
    </w:p>
    <w:p w14:paraId="6BF86C89" w14:textId="06E36BAB" w:rsidR="00603F3F" w:rsidRPr="0057039B" w:rsidRDefault="00603F3F" w:rsidP="00603F3F">
      <w:pPr>
        <w:widowControl w:val="0"/>
        <w:autoSpaceDE w:val="0"/>
        <w:autoSpaceDN w:val="0"/>
        <w:adjustRightInd w:val="0"/>
        <w:spacing w:after="0"/>
        <w:ind w:left="851" w:hanging="851"/>
        <w:jc w:val="both"/>
        <w:rPr>
          <w:rFonts w:ascii="Times New Roman" w:hAnsi="Times New Roman"/>
          <w:color w:val="000000"/>
          <w:sz w:val="20"/>
          <w:szCs w:val="20"/>
          <w:lang w:eastAsia="it-IT"/>
        </w:rPr>
      </w:pPr>
      <w:r w:rsidRPr="0057039B">
        <w:rPr>
          <w:rFonts w:ascii="Times New Roman" w:hAnsi="Times New Roman"/>
          <w:b/>
          <w:color w:val="000000"/>
          <w:sz w:val="20"/>
          <w:szCs w:val="20"/>
          <w:lang w:eastAsia="it-IT"/>
        </w:rPr>
        <w:t>All</w:t>
      </w:r>
      <w:r w:rsidR="0013041B" w:rsidRPr="0057039B">
        <w:rPr>
          <w:rFonts w:ascii="Times New Roman" w:hAnsi="Times New Roman"/>
          <w:b/>
          <w:color w:val="000000"/>
          <w:sz w:val="20"/>
          <w:szCs w:val="20"/>
          <w:lang w:eastAsia="it-IT"/>
        </w:rPr>
        <w:t>egato</w:t>
      </w:r>
      <w:r w:rsidRPr="0057039B">
        <w:rPr>
          <w:rFonts w:ascii="Times New Roman" w:hAnsi="Times New Roman"/>
          <w:b/>
          <w:color w:val="000000"/>
          <w:sz w:val="20"/>
          <w:szCs w:val="20"/>
          <w:lang w:eastAsia="it-IT"/>
        </w:rPr>
        <w:t>. n. 3 -</w:t>
      </w:r>
      <w:r w:rsidRPr="0057039B">
        <w:rPr>
          <w:rFonts w:ascii="Times New Roman" w:hAnsi="Times New Roman"/>
          <w:color w:val="000000"/>
          <w:sz w:val="20"/>
          <w:szCs w:val="20"/>
          <w:lang w:eastAsia="it-IT"/>
        </w:rPr>
        <w:tab/>
        <w:t xml:space="preserve">TESTO UNICO REGOLAMENTI E PROCEDURE contenente i seguenti regolamenti/procedure: </w:t>
      </w:r>
    </w:p>
    <w:p w14:paraId="3468B776"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1.</w:t>
      </w:r>
      <w:r w:rsidRPr="0057039B">
        <w:rPr>
          <w:rFonts w:ascii="Times New Roman" w:hAnsi="Times New Roman"/>
          <w:color w:val="000000"/>
          <w:sz w:val="20"/>
          <w:szCs w:val="20"/>
          <w:lang w:eastAsia="it-IT"/>
        </w:rPr>
        <w:tab/>
        <w:t>Regolamento per gli acquisti, le gare ed i contratti (in fase di predisposizione);</w:t>
      </w:r>
    </w:p>
    <w:p w14:paraId="3052EEBA"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2.</w:t>
      </w:r>
      <w:r w:rsidRPr="0057039B">
        <w:rPr>
          <w:rFonts w:ascii="Times New Roman" w:hAnsi="Times New Roman"/>
          <w:color w:val="000000"/>
          <w:sz w:val="20"/>
          <w:szCs w:val="20"/>
          <w:lang w:eastAsia="it-IT"/>
        </w:rPr>
        <w:tab/>
        <w:t>Regolamento sul reclutamento e sulle progressioni di carriera del personale e sul conferimento degli incarichi;</w:t>
      </w:r>
    </w:p>
    <w:p w14:paraId="789D2CA2"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3.</w:t>
      </w:r>
      <w:r w:rsidRPr="0057039B">
        <w:rPr>
          <w:rFonts w:ascii="Times New Roman" w:hAnsi="Times New Roman"/>
          <w:color w:val="000000"/>
          <w:sz w:val="20"/>
          <w:szCs w:val="20"/>
          <w:lang w:eastAsia="it-IT"/>
        </w:rPr>
        <w:tab/>
        <w:t>Regolamento per la disciplina degli incarichi vietati e conflitti di interessi ai sensi del D.P.R. n. 62/2013;</w:t>
      </w:r>
    </w:p>
    <w:p w14:paraId="40C6459A"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4.</w:t>
      </w:r>
      <w:r w:rsidRPr="0057039B">
        <w:rPr>
          <w:rFonts w:ascii="Times New Roman" w:hAnsi="Times New Roman"/>
          <w:color w:val="000000"/>
          <w:sz w:val="20"/>
          <w:szCs w:val="20"/>
          <w:lang w:eastAsia="it-IT"/>
        </w:rPr>
        <w:tab/>
        <w:t>Regolamento sul procedimento sanzionatorio per violazione degli obblighi sulla trasparenza;</w:t>
      </w:r>
    </w:p>
    <w:p w14:paraId="1168FD70"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5.</w:t>
      </w:r>
      <w:r w:rsidRPr="0057039B">
        <w:rPr>
          <w:rFonts w:ascii="Times New Roman" w:hAnsi="Times New Roman"/>
          <w:color w:val="000000"/>
          <w:sz w:val="20"/>
          <w:szCs w:val="20"/>
          <w:lang w:eastAsia="it-IT"/>
        </w:rPr>
        <w:tab/>
        <w:t>Regolamento per l’utilizzo dei sistemi informativi e del servizio di telefonia;</w:t>
      </w:r>
    </w:p>
    <w:p w14:paraId="03CF7906"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6.</w:t>
      </w:r>
      <w:r w:rsidRPr="0057039B">
        <w:rPr>
          <w:rFonts w:ascii="Times New Roman" w:hAnsi="Times New Roman"/>
          <w:color w:val="000000"/>
          <w:sz w:val="20"/>
          <w:szCs w:val="20"/>
          <w:lang w:eastAsia="it-IT"/>
        </w:rPr>
        <w:tab/>
        <w:t>Regolamento utilizzo apparecchi e servizi di telefonia mobile;</w:t>
      </w:r>
    </w:p>
    <w:p w14:paraId="49628BA8"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7.</w:t>
      </w:r>
      <w:r w:rsidRPr="0057039B">
        <w:rPr>
          <w:rFonts w:ascii="Times New Roman" w:hAnsi="Times New Roman"/>
          <w:color w:val="000000"/>
          <w:sz w:val="20"/>
          <w:szCs w:val="20"/>
          <w:lang w:eastAsia="it-IT"/>
        </w:rPr>
        <w:tab/>
        <w:t>Disciplinare aziendale in ordine al trattamento dei dati personali;</w:t>
      </w:r>
    </w:p>
    <w:p w14:paraId="649499E0" w14:textId="77777777"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8.</w:t>
      </w:r>
      <w:r w:rsidRPr="0057039B">
        <w:rPr>
          <w:rFonts w:ascii="Times New Roman" w:hAnsi="Times New Roman"/>
          <w:color w:val="000000"/>
          <w:sz w:val="20"/>
          <w:szCs w:val="20"/>
          <w:lang w:eastAsia="it-IT"/>
        </w:rPr>
        <w:tab/>
        <w:t>MOG e sicurezza – interazione tra D. Lgs. n. 231/2001 e D. Lgs. n. 81/2008;</w:t>
      </w:r>
    </w:p>
    <w:p w14:paraId="33E00B28" w14:textId="33820064" w:rsidR="00603F3F" w:rsidRPr="0057039B" w:rsidRDefault="00603F3F" w:rsidP="00603F3F">
      <w:pPr>
        <w:widowControl w:val="0"/>
        <w:autoSpaceDE w:val="0"/>
        <w:autoSpaceDN w:val="0"/>
        <w:adjustRightInd w:val="0"/>
        <w:spacing w:after="0"/>
        <w:ind w:left="1134" w:hanging="284"/>
        <w:jc w:val="both"/>
        <w:rPr>
          <w:rFonts w:ascii="Times New Roman" w:hAnsi="Times New Roman"/>
          <w:color w:val="000000"/>
          <w:sz w:val="20"/>
          <w:szCs w:val="20"/>
          <w:lang w:eastAsia="it-IT"/>
        </w:rPr>
      </w:pPr>
      <w:r w:rsidRPr="0057039B">
        <w:rPr>
          <w:rFonts w:ascii="Times New Roman" w:hAnsi="Times New Roman"/>
          <w:color w:val="000000"/>
          <w:sz w:val="20"/>
          <w:szCs w:val="20"/>
          <w:lang w:eastAsia="it-IT"/>
        </w:rPr>
        <w:t>9.</w:t>
      </w:r>
      <w:r w:rsidRPr="0057039B">
        <w:rPr>
          <w:rFonts w:ascii="Times New Roman" w:hAnsi="Times New Roman"/>
          <w:color w:val="000000"/>
          <w:sz w:val="20"/>
          <w:szCs w:val="20"/>
          <w:lang w:eastAsia="it-IT"/>
        </w:rPr>
        <w:tab/>
        <w:t xml:space="preserve">Procedura per lo studio di fattibilità e l’elaborazione del preventivo economico-finanziario </w:t>
      </w:r>
      <w:r w:rsidR="00A714BB" w:rsidRPr="0057039B">
        <w:rPr>
          <w:rFonts w:ascii="Times New Roman" w:hAnsi="Times New Roman"/>
          <w:color w:val="000000"/>
          <w:sz w:val="20"/>
          <w:szCs w:val="20"/>
          <w:lang w:eastAsia="it-IT"/>
        </w:rPr>
        <w:t>di nuovi servizi richiesti dal Comune di Marino.</w:t>
      </w:r>
    </w:p>
    <w:p w14:paraId="3518BCC6" w14:textId="77777777" w:rsidR="00603F3F" w:rsidRPr="005703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110EB719" w14:textId="77777777" w:rsidR="00603F3F" w:rsidRPr="0057039B" w:rsidRDefault="00603F3F" w:rsidP="003E3269">
      <w:pPr>
        <w:pStyle w:val="Titolo3"/>
        <w:keepNext w:val="0"/>
        <w:widowControl w:val="0"/>
        <w:numPr>
          <w:ilvl w:val="1"/>
          <w:numId w:val="31"/>
        </w:numPr>
        <w:spacing w:line="276" w:lineRule="auto"/>
        <w:ind w:left="567" w:hanging="567"/>
        <w:contextualSpacing w:val="0"/>
      </w:pPr>
      <w:bookmarkStart w:id="617" w:name="_Toc473547412"/>
      <w:bookmarkStart w:id="618" w:name="_Toc535854448"/>
      <w:r w:rsidRPr="0057039B">
        <w:t>La trasparenza</w:t>
      </w:r>
      <w:bookmarkEnd w:id="617"/>
      <w:bookmarkEnd w:id="618"/>
      <w:r w:rsidRPr="0057039B">
        <w:t xml:space="preserve"> </w:t>
      </w:r>
    </w:p>
    <w:p w14:paraId="7C92F246" w14:textId="77777777"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attiene la trasparenza si fa rinvio, per gli aspetti contenutistici, a quanto previsto nella </w:t>
      </w:r>
      <w:r w:rsidRPr="00A02622">
        <w:rPr>
          <w:rFonts w:ascii="Times New Roman" w:hAnsi="Times New Roman"/>
          <w:b/>
          <w:color w:val="000000"/>
          <w:sz w:val="20"/>
          <w:szCs w:val="20"/>
          <w:lang w:eastAsia="it-IT"/>
        </w:rPr>
        <w:t>Sezione III</w:t>
      </w:r>
      <w:r w:rsidRPr="00CD7FBE">
        <w:rPr>
          <w:rFonts w:ascii="Times New Roman" w:hAnsi="Times New Roman"/>
          <w:color w:val="000000"/>
          <w:sz w:val="20"/>
          <w:szCs w:val="20"/>
          <w:lang w:eastAsia="it-IT"/>
        </w:rPr>
        <w:t xml:space="preserve"> del presente Piano.</w:t>
      </w:r>
      <w:bookmarkStart w:id="619" w:name="_Toc454796235"/>
      <w:bookmarkStart w:id="620" w:name="_Toc454796297"/>
    </w:p>
    <w:p w14:paraId="2C65707A" w14:textId="77777777" w:rsidR="00603F3F" w:rsidRDefault="00603F3F" w:rsidP="00603F3F">
      <w:pPr>
        <w:widowControl w:val="0"/>
        <w:spacing w:after="0"/>
        <w:rPr>
          <w:rFonts w:ascii="Times New Roman" w:hAnsi="Times New Roman"/>
          <w:color w:val="000000"/>
          <w:sz w:val="20"/>
          <w:szCs w:val="20"/>
          <w:lang w:eastAsia="it-IT"/>
        </w:rPr>
      </w:pPr>
    </w:p>
    <w:p w14:paraId="4A98B456"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621" w:name="_Toc473547413"/>
      <w:bookmarkStart w:id="622" w:name="_Toc535854449"/>
      <w:r w:rsidRPr="00FB1545">
        <w:t xml:space="preserve">La </w:t>
      </w:r>
      <w:bookmarkEnd w:id="619"/>
      <w:bookmarkEnd w:id="620"/>
      <w:r w:rsidRPr="00FB1545">
        <w:t>formazione, la gestione ed il potenziamento dell’intercambiabilità dei dipendenti</w:t>
      </w:r>
      <w:bookmarkEnd w:id="621"/>
      <w:bookmarkEnd w:id="622"/>
    </w:p>
    <w:p w14:paraId="590E9C32" w14:textId="1881A15A" w:rsidR="00603F3F" w:rsidRPr="00DD109C" w:rsidRDefault="00603F3F" w:rsidP="00603F3F">
      <w:pPr>
        <w:widowControl w:val="0"/>
        <w:spacing w:after="0"/>
        <w:jc w:val="both"/>
        <w:rPr>
          <w:rFonts w:ascii="Times New Roman" w:hAnsi="Times New Roman"/>
          <w:color w:val="000000"/>
          <w:sz w:val="20"/>
          <w:szCs w:val="20"/>
          <w:lang w:eastAsia="it-IT"/>
        </w:rPr>
      </w:pPr>
      <w:r w:rsidRPr="00DD109C">
        <w:rPr>
          <w:rFonts w:ascii="Times New Roman" w:hAnsi="Times New Roman"/>
          <w:color w:val="000000"/>
          <w:sz w:val="20"/>
          <w:szCs w:val="20"/>
          <w:lang w:eastAsia="it-IT"/>
        </w:rPr>
        <w:t>La formazione, soprattutto nelle organizzazioni complesse, rappresenta una variabile strategica per accrescere le conoscenze della forza lavoro al fine di incrementare competenze e professionalità per migliorare efficacia, efficienza, flessibilità, elasticità, produttività e operatività della prestazione lavorativa e dell’azienda nel suo complesso.</w:t>
      </w:r>
      <w:r>
        <w:rPr>
          <w:rFonts w:ascii="Times New Roman" w:hAnsi="Times New Roman"/>
          <w:color w:val="000000"/>
          <w:sz w:val="20"/>
          <w:szCs w:val="20"/>
          <w:lang w:eastAsia="it-IT"/>
        </w:rPr>
        <w:t xml:space="preserve"> </w:t>
      </w:r>
      <w:r w:rsidRPr="00DD109C">
        <w:rPr>
          <w:rFonts w:ascii="Times New Roman" w:hAnsi="Times New Roman"/>
          <w:color w:val="000000"/>
          <w:sz w:val="20"/>
          <w:szCs w:val="20"/>
          <w:lang w:eastAsia="it-IT"/>
        </w:rPr>
        <w:t xml:space="preserve">A tal proposito, si ricorda che le società </w:t>
      </w:r>
      <w:r w:rsidRPr="003811DB">
        <w:rPr>
          <w:rFonts w:ascii="Times New Roman" w:hAnsi="Times New Roman"/>
          <w:i/>
          <w:color w:val="000000"/>
          <w:sz w:val="20"/>
          <w:szCs w:val="20"/>
          <w:lang w:eastAsia="it-IT"/>
        </w:rPr>
        <w:t>in house</w:t>
      </w:r>
      <w:r w:rsidRPr="00DD109C">
        <w:rPr>
          <w:rFonts w:ascii="Times New Roman" w:hAnsi="Times New Roman"/>
          <w:color w:val="000000"/>
          <w:sz w:val="20"/>
          <w:szCs w:val="20"/>
          <w:lang w:eastAsia="it-IT"/>
        </w:rPr>
        <w:t xml:space="preserve"> (Determinazione ANAC 8/2015) devono programmare adeguati percorsi formativi per sviluppare conoscenze e competenze su etica, legalità, programmi, politiche e strumenti per la prevenzione ed il contrasto della corruzione al fine di dare piena esecutività al nuovo sistema di </w:t>
      </w:r>
      <w:r>
        <w:rPr>
          <w:rFonts w:ascii="Times New Roman" w:hAnsi="Times New Roman"/>
          <w:color w:val="000000"/>
          <w:sz w:val="20"/>
          <w:szCs w:val="20"/>
          <w:lang w:eastAsia="it-IT"/>
        </w:rPr>
        <w:t>norme vigenti (Legge 190/12, D. Lgs.</w:t>
      </w:r>
      <w:r w:rsidRPr="00DD109C">
        <w:rPr>
          <w:rFonts w:ascii="Times New Roman" w:hAnsi="Times New Roman"/>
          <w:color w:val="000000"/>
          <w:sz w:val="20"/>
          <w:szCs w:val="20"/>
          <w:lang w:eastAsia="it-IT"/>
        </w:rPr>
        <w:t xml:space="preserve"> 33/2013, </w:t>
      </w:r>
      <w:r>
        <w:rPr>
          <w:rFonts w:ascii="Times New Roman" w:hAnsi="Times New Roman"/>
          <w:color w:val="000000"/>
          <w:sz w:val="20"/>
          <w:szCs w:val="20"/>
          <w:lang w:eastAsia="it-IT"/>
        </w:rPr>
        <w:t>D. Lgs</w:t>
      </w:r>
      <w:r w:rsidRPr="00DD109C">
        <w:rPr>
          <w:rFonts w:ascii="Times New Roman" w:hAnsi="Times New Roman"/>
          <w:color w:val="000000"/>
          <w:sz w:val="20"/>
          <w:szCs w:val="20"/>
          <w:lang w:eastAsia="it-IT"/>
        </w:rPr>
        <w:t>. 39/2013, ecc.).</w:t>
      </w:r>
      <w:r>
        <w:rPr>
          <w:rFonts w:ascii="Times New Roman" w:hAnsi="Times New Roman"/>
          <w:color w:val="000000"/>
          <w:sz w:val="20"/>
          <w:szCs w:val="20"/>
          <w:lang w:eastAsia="it-IT"/>
        </w:rPr>
        <w:t xml:space="preserve"> </w:t>
      </w:r>
      <w:r w:rsidRPr="00DD109C">
        <w:rPr>
          <w:rFonts w:ascii="Times New Roman" w:hAnsi="Times New Roman"/>
          <w:color w:val="000000"/>
          <w:sz w:val="20"/>
          <w:szCs w:val="20"/>
          <w:lang w:eastAsia="it-IT"/>
        </w:rPr>
        <w:t xml:space="preserve">Oltre che per le finalità di cui sopra (Vedi paragrafo </w:t>
      </w:r>
      <w:r>
        <w:rPr>
          <w:rFonts w:ascii="Times New Roman" w:hAnsi="Times New Roman"/>
          <w:color w:val="000000"/>
          <w:sz w:val="20"/>
          <w:szCs w:val="20"/>
          <w:lang w:eastAsia="it-IT"/>
        </w:rPr>
        <w:t>6</w:t>
      </w:r>
      <w:r w:rsidRPr="00DD109C">
        <w:rPr>
          <w:rFonts w:ascii="Times New Roman" w:hAnsi="Times New Roman"/>
          <w:color w:val="000000"/>
          <w:sz w:val="20"/>
          <w:szCs w:val="20"/>
          <w:lang w:eastAsia="it-IT"/>
        </w:rPr>
        <w:t xml:space="preserve">), la formazione è fondamentale, attraverso l’ampliamento, la condivisione e lo sviluppo delle competenze e delle professionalità, per sviluppare una forza lavoro con alti livelli di condivisione delle conoscenze, competenze, professionalità e del lavoro svolto e quindi intercambiabile e pronta ai processi di rotazione di cui al successivo paragrafo </w:t>
      </w:r>
      <w:r>
        <w:rPr>
          <w:rFonts w:ascii="Times New Roman" w:hAnsi="Times New Roman"/>
          <w:color w:val="000000"/>
          <w:sz w:val="20"/>
          <w:szCs w:val="20"/>
          <w:lang w:eastAsia="it-IT"/>
        </w:rPr>
        <w:t>9</w:t>
      </w:r>
      <w:r w:rsidRPr="00DD109C">
        <w:rPr>
          <w:rFonts w:ascii="Times New Roman" w:hAnsi="Times New Roman"/>
          <w:color w:val="000000"/>
          <w:sz w:val="20"/>
          <w:szCs w:val="20"/>
          <w:lang w:eastAsia="it-IT"/>
        </w:rPr>
        <w:t>.3.</w:t>
      </w:r>
    </w:p>
    <w:p w14:paraId="208B20C7" w14:textId="77777777" w:rsidR="00603F3F" w:rsidRPr="00DD109C" w:rsidRDefault="00603F3F" w:rsidP="00603F3F">
      <w:pPr>
        <w:widowControl w:val="0"/>
        <w:spacing w:after="0"/>
        <w:jc w:val="both"/>
        <w:rPr>
          <w:rFonts w:ascii="Times New Roman" w:hAnsi="Times New Roman"/>
          <w:color w:val="000000"/>
          <w:sz w:val="20"/>
          <w:szCs w:val="20"/>
          <w:lang w:eastAsia="it-IT"/>
        </w:rPr>
      </w:pPr>
    </w:p>
    <w:p w14:paraId="5F50657B" w14:textId="4A75CD0F" w:rsidR="00603F3F" w:rsidRPr="00DD109C" w:rsidRDefault="00603F3F" w:rsidP="00603F3F">
      <w:pPr>
        <w:widowControl w:val="0"/>
        <w:spacing w:after="0"/>
        <w:jc w:val="both"/>
        <w:rPr>
          <w:rFonts w:ascii="Times New Roman" w:hAnsi="Times New Roman"/>
          <w:color w:val="000000"/>
          <w:sz w:val="20"/>
          <w:szCs w:val="20"/>
          <w:lang w:eastAsia="it-IT"/>
        </w:rPr>
      </w:pPr>
      <w:r w:rsidRPr="00DD109C">
        <w:rPr>
          <w:rFonts w:ascii="Times New Roman" w:hAnsi="Times New Roman"/>
          <w:color w:val="000000"/>
          <w:sz w:val="20"/>
          <w:szCs w:val="20"/>
          <w:lang w:eastAsia="it-IT"/>
        </w:rPr>
        <w:t xml:space="preserve">La non capacità dell’azienda di avere conoscenze, competenze e professionalità diffuse aumenta il rischio di accentramento in poche persone ed a volte in una sola dell’operatività dell’azienda in alcune aree di attività e servizi, con conseguente perdita di competitività nel caso di assenza o sostituzione, </w:t>
      </w:r>
      <w:r w:rsidRPr="00DD109C">
        <w:rPr>
          <w:rFonts w:ascii="Times New Roman" w:hAnsi="Times New Roman"/>
          <w:b/>
          <w:color w:val="000000"/>
          <w:sz w:val="20"/>
          <w:szCs w:val="20"/>
          <w:u w:val="single"/>
          <w:lang w:eastAsia="it-IT"/>
        </w:rPr>
        <w:t>ma nel contempo si riduce anche la capacità stessa dell’azienda di governo e controllo del lavoro svolto</w:t>
      </w:r>
      <w:r w:rsidRPr="00DD109C">
        <w:rPr>
          <w:rFonts w:ascii="Times New Roman" w:hAnsi="Times New Roman"/>
          <w:color w:val="000000"/>
          <w:sz w:val="20"/>
          <w:szCs w:val="20"/>
          <w:lang w:eastAsia="it-IT"/>
        </w:rPr>
        <w:t>, con rischi molteplici dal punto di vis</w:t>
      </w:r>
      <w:r>
        <w:rPr>
          <w:rFonts w:ascii="Times New Roman" w:hAnsi="Times New Roman"/>
          <w:color w:val="000000"/>
          <w:sz w:val="20"/>
          <w:szCs w:val="20"/>
          <w:lang w:eastAsia="it-IT"/>
        </w:rPr>
        <w:t xml:space="preserve">ta sia economico che giuridico. </w:t>
      </w:r>
      <w:r w:rsidRPr="00DD109C">
        <w:rPr>
          <w:rFonts w:ascii="Times New Roman" w:hAnsi="Times New Roman"/>
          <w:color w:val="000000"/>
          <w:sz w:val="20"/>
          <w:szCs w:val="20"/>
          <w:lang w:eastAsia="it-IT"/>
        </w:rPr>
        <w:t>Sviluppare, gestire ed incrementare l’intercambiabilità dei dipendenti è, quindi, un obiettivo strategico di ogni azienda, ma ciò, non è attuabile al momento del bisogno, ma richiede un modello organizzativo e gestionale orientato in tal senso, anche al fine di:</w:t>
      </w:r>
    </w:p>
    <w:p w14:paraId="2A520836" w14:textId="77777777" w:rsidR="00603F3F" w:rsidRPr="00DD109C" w:rsidRDefault="00603F3F" w:rsidP="00603F3F">
      <w:pPr>
        <w:widowControl w:val="0"/>
        <w:spacing w:after="0"/>
        <w:jc w:val="both"/>
        <w:rPr>
          <w:rFonts w:ascii="Times New Roman" w:hAnsi="Times New Roman"/>
          <w:i/>
          <w:color w:val="000000"/>
          <w:sz w:val="20"/>
          <w:szCs w:val="20"/>
          <w:lang w:eastAsia="it-IT"/>
        </w:rPr>
      </w:pPr>
      <w:r w:rsidRPr="00DD109C">
        <w:rPr>
          <w:rFonts w:ascii="Times New Roman" w:hAnsi="Times New Roman"/>
          <w:i/>
          <w:color w:val="000000"/>
          <w:sz w:val="20"/>
          <w:szCs w:val="20"/>
          <w:lang w:eastAsia="it-IT"/>
        </w:rPr>
        <w:t xml:space="preserve">• contenere al massimo i costi del personale, </w:t>
      </w:r>
    </w:p>
    <w:p w14:paraId="2811C201" w14:textId="77777777" w:rsidR="00603F3F" w:rsidRPr="00DD109C" w:rsidRDefault="00603F3F" w:rsidP="00603F3F">
      <w:pPr>
        <w:widowControl w:val="0"/>
        <w:spacing w:after="0"/>
        <w:jc w:val="both"/>
        <w:rPr>
          <w:rFonts w:ascii="Times New Roman" w:hAnsi="Times New Roman"/>
          <w:i/>
          <w:color w:val="000000"/>
          <w:sz w:val="20"/>
          <w:szCs w:val="20"/>
          <w:lang w:eastAsia="it-IT"/>
        </w:rPr>
      </w:pPr>
      <w:r w:rsidRPr="00DD109C">
        <w:rPr>
          <w:rFonts w:ascii="Times New Roman" w:hAnsi="Times New Roman"/>
          <w:i/>
          <w:color w:val="000000"/>
          <w:sz w:val="20"/>
          <w:szCs w:val="20"/>
          <w:lang w:eastAsia="it-IT"/>
        </w:rPr>
        <w:t xml:space="preserve">• orientare, ottimizzare gli investimenti e gli impegni di tempo per il mantenimento di un’adeguata capacità di rotazione e sostituibilità delle risorse umane impiegate nell’organizzazione, </w:t>
      </w:r>
    </w:p>
    <w:p w14:paraId="4C4C77A8" w14:textId="77777777" w:rsidR="00603F3F" w:rsidRPr="00DD109C" w:rsidRDefault="00603F3F" w:rsidP="00603F3F">
      <w:pPr>
        <w:widowControl w:val="0"/>
        <w:spacing w:after="0"/>
        <w:jc w:val="both"/>
        <w:rPr>
          <w:rFonts w:ascii="Times New Roman" w:hAnsi="Times New Roman"/>
          <w:color w:val="000000"/>
          <w:sz w:val="20"/>
          <w:szCs w:val="20"/>
          <w:lang w:eastAsia="it-IT"/>
        </w:rPr>
      </w:pPr>
    </w:p>
    <w:p w14:paraId="2C9732F6" w14:textId="605A832B" w:rsidR="00603F3F" w:rsidRPr="00DD109C" w:rsidRDefault="00603F3F" w:rsidP="00603F3F">
      <w:pPr>
        <w:widowControl w:val="0"/>
        <w:spacing w:after="0"/>
        <w:jc w:val="both"/>
        <w:rPr>
          <w:rFonts w:ascii="Times New Roman" w:hAnsi="Times New Roman"/>
          <w:color w:val="000000"/>
          <w:sz w:val="20"/>
          <w:szCs w:val="20"/>
          <w:lang w:eastAsia="it-IT"/>
        </w:rPr>
      </w:pPr>
      <w:r w:rsidRPr="00DD109C">
        <w:rPr>
          <w:rFonts w:ascii="Times New Roman" w:hAnsi="Times New Roman"/>
          <w:color w:val="000000"/>
          <w:sz w:val="20"/>
          <w:szCs w:val="20"/>
          <w:lang w:eastAsia="it-IT"/>
        </w:rPr>
        <w:t xml:space="preserve">A tal fine è necessario che la </w:t>
      </w:r>
      <w:r>
        <w:rPr>
          <w:rFonts w:ascii="Times New Roman" w:hAnsi="Times New Roman"/>
          <w:color w:val="000000"/>
          <w:sz w:val="20"/>
          <w:szCs w:val="20"/>
          <w:lang w:eastAsia="it-IT"/>
        </w:rPr>
        <w:t>società</w:t>
      </w:r>
      <w:r w:rsidRPr="00DD109C">
        <w:rPr>
          <w:rFonts w:ascii="Times New Roman" w:hAnsi="Times New Roman"/>
          <w:color w:val="000000"/>
          <w:sz w:val="20"/>
          <w:szCs w:val="20"/>
          <w:lang w:eastAsia="it-IT"/>
        </w:rPr>
        <w:t xml:space="preserve"> gestisca e governi l’intercambiabilità del personale, per gestire in modo efficace ed efficiente le diverse esigenze anche in rifermento </w:t>
      </w:r>
      <w:r>
        <w:rPr>
          <w:rFonts w:ascii="Times New Roman" w:hAnsi="Times New Roman"/>
          <w:color w:val="000000"/>
          <w:sz w:val="20"/>
          <w:szCs w:val="20"/>
          <w:lang w:eastAsia="it-IT"/>
        </w:rPr>
        <w:t>ai diversi orizzonti temporali:</w:t>
      </w:r>
    </w:p>
    <w:p w14:paraId="3F8AD36B" w14:textId="77777777" w:rsidR="00603F3F" w:rsidRPr="00DD109C" w:rsidRDefault="00603F3F" w:rsidP="003E3269">
      <w:pPr>
        <w:pStyle w:val="Paragrafoelenco"/>
        <w:widowControl w:val="0"/>
        <w:numPr>
          <w:ilvl w:val="1"/>
          <w:numId w:val="41"/>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breve</w:t>
      </w:r>
      <w:r w:rsidRPr="00DD109C">
        <w:rPr>
          <w:rFonts w:ascii="Times New Roman" w:hAnsi="Times New Roman"/>
          <w:color w:val="000000"/>
          <w:sz w:val="20"/>
          <w:szCs w:val="20"/>
          <w:lang w:eastAsia="it-IT"/>
        </w:rPr>
        <w:t xml:space="preserve">: la rapida individuazione delle risorse disponibili che possano sopperire alla carenza di personale, nel momento stesso in cui si presenti, anche improvvisamente (es. assenza per malattia); </w:t>
      </w:r>
    </w:p>
    <w:p w14:paraId="4BDD97B9" w14:textId="77777777" w:rsidR="00603F3F" w:rsidRPr="00DD109C" w:rsidRDefault="00603F3F" w:rsidP="003E3269">
      <w:pPr>
        <w:pStyle w:val="Paragrafoelenco"/>
        <w:widowControl w:val="0"/>
        <w:numPr>
          <w:ilvl w:val="1"/>
          <w:numId w:val="41"/>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medio</w:t>
      </w:r>
      <w:r w:rsidRPr="00DD109C">
        <w:rPr>
          <w:rFonts w:ascii="Times New Roman" w:hAnsi="Times New Roman"/>
          <w:color w:val="000000"/>
          <w:sz w:val="20"/>
          <w:szCs w:val="20"/>
          <w:lang w:eastAsia="it-IT"/>
        </w:rPr>
        <w:t xml:space="preserve">: la schedulazione di piani di sostituzione programmata (es. per garantire la continuità operativa nei periodi di festività/ferie); </w:t>
      </w:r>
    </w:p>
    <w:p w14:paraId="0F12649C" w14:textId="77777777" w:rsidR="00603F3F" w:rsidRPr="00DD109C" w:rsidRDefault="00603F3F" w:rsidP="003E3269">
      <w:pPr>
        <w:pStyle w:val="Paragrafoelenco"/>
        <w:widowControl w:val="0"/>
        <w:numPr>
          <w:ilvl w:val="1"/>
          <w:numId w:val="41"/>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medio/lungo</w:t>
      </w:r>
      <w:r w:rsidRPr="00DD109C">
        <w:rPr>
          <w:rFonts w:ascii="Times New Roman" w:hAnsi="Times New Roman"/>
          <w:color w:val="000000"/>
          <w:sz w:val="20"/>
          <w:szCs w:val="20"/>
          <w:lang w:eastAsia="it-IT"/>
        </w:rPr>
        <w:t xml:space="preserve">: la gestione ed il monitoraggio continuo del potenziale di intercambiabilità del personale a vari livelli di aggregazione organizzativa, per individuare ed attuare in base alla priorità le costose attività di sviluppo e mantenimento della sostituibilità (es. rotazione, formazione continua mirata, tutoring, affiancamenti, ecc.) e prepararsi quindi a rispondere rapidamente e con efficacia alle esigenze di breve e medio periodo; </w:t>
      </w:r>
    </w:p>
    <w:p w14:paraId="4FAA6453" w14:textId="77777777" w:rsidR="00603F3F" w:rsidRPr="00630A2C" w:rsidRDefault="00603F3F" w:rsidP="003E3269">
      <w:pPr>
        <w:pStyle w:val="Paragrafoelenco"/>
        <w:widowControl w:val="0"/>
        <w:numPr>
          <w:ilvl w:val="1"/>
          <w:numId w:val="41"/>
        </w:numPr>
        <w:spacing w:after="0" w:line="276" w:lineRule="auto"/>
        <w:ind w:left="284" w:hanging="284"/>
        <w:contextualSpacing w:val="0"/>
        <w:jc w:val="both"/>
        <w:rPr>
          <w:rFonts w:ascii="Times New Roman" w:hAnsi="Times New Roman"/>
          <w:color w:val="000000"/>
          <w:sz w:val="20"/>
          <w:szCs w:val="20"/>
          <w:lang w:eastAsia="it-IT"/>
        </w:rPr>
      </w:pPr>
      <w:r w:rsidRPr="00DD109C">
        <w:rPr>
          <w:rFonts w:ascii="Times New Roman" w:hAnsi="Times New Roman"/>
          <w:b/>
          <w:color w:val="000000"/>
          <w:sz w:val="20"/>
          <w:szCs w:val="20"/>
          <w:lang w:eastAsia="it-IT"/>
        </w:rPr>
        <w:t>nel lungo</w:t>
      </w:r>
      <w:r w:rsidRPr="00DD109C">
        <w:rPr>
          <w:rFonts w:ascii="Times New Roman" w:hAnsi="Times New Roman"/>
          <w:color w:val="000000"/>
          <w:sz w:val="20"/>
          <w:szCs w:val="20"/>
          <w:lang w:eastAsia="it-IT"/>
        </w:rPr>
        <w:t xml:space="preserve">: la predisposizione e periodica verifica di Tavole di Rimpiazzo (sostituzione) per individuare percorsi di carriera ed elaborare piani di successione, in particolare nella fascia manageriale </w:t>
      </w:r>
      <w:r w:rsidRPr="00630A2C">
        <w:rPr>
          <w:rFonts w:ascii="Times New Roman" w:hAnsi="Times New Roman"/>
          <w:color w:val="000000"/>
          <w:sz w:val="20"/>
          <w:szCs w:val="20"/>
          <w:lang w:eastAsia="it-IT"/>
        </w:rPr>
        <w:t xml:space="preserve">dell’organizzazione. </w:t>
      </w:r>
    </w:p>
    <w:p w14:paraId="2BD7484A" w14:textId="12A3AAEA"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630A2C">
        <w:rPr>
          <w:rFonts w:ascii="Times New Roman" w:hAnsi="Times New Roman"/>
          <w:b/>
          <w:color w:val="000000"/>
          <w:sz w:val="20"/>
          <w:szCs w:val="20"/>
          <w:lang w:eastAsia="it-IT"/>
        </w:rPr>
        <w:t>Responsabile della misura:</w:t>
      </w:r>
      <w:r w:rsidRPr="00630A2C">
        <w:rPr>
          <w:rFonts w:ascii="Times New Roman" w:hAnsi="Times New Roman"/>
          <w:color w:val="000000"/>
          <w:sz w:val="20"/>
          <w:szCs w:val="20"/>
          <w:lang w:eastAsia="it-IT"/>
        </w:rPr>
        <w:t xml:space="preserve"> </w:t>
      </w:r>
      <w:r w:rsidR="00F32723" w:rsidRPr="00630A2C">
        <w:rPr>
          <w:rFonts w:ascii="Times New Roman" w:hAnsi="Times New Roman"/>
          <w:b/>
          <w:color w:val="000000"/>
          <w:sz w:val="20"/>
          <w:szCs w:val="20"/>
          <w:lang w:eastAsia="it-IT"/>
        </w:rPr>
        <w:t>Settore Amministrativo</w:t>
      </w:r>
      <w:r w:rsidRPr="00630A2C">
        <w:rPr>
          <w:rFonts w:ascii="Times New Roman" w:hAnsi="Times New Roman"/>
          <w:b/>
          <w:color w:val="000000"/>
          <w:sz w:val="20"/>
          <w:szCs w:val="20"/>
          <w:lang w:eastAsia="it-IT"/>
        </w:rPr>
        <w:t>.</w:t>
      </w:r>
      <w:r w:rsidRPr="00CD7FBE">
        <w:rPr>
          <w:rFonts w:ascii="Times New Roman" w:hAnsi="Times New Roman"/>
          <w:color w:val="000000"/>
          <w:sz w:val="20"/>
          <w:szCs w:val="20"/>
          <w:lang w:eastAsia="it-IT"/>
        </w:rPr>
        <w:t xml:space="preserve"> </w:t>
      </w:r>
    </w:p>
    <w:p w14:paraId="7CFCF9FF" w14:textId="77777777" w:rsidR="00603F3F" w:rsidRPr="00CD7FBE"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p>
    <w:p w14:paraId="100FB7E8" w14:textId="099933E7" w:rsidR="00603F3F" w:rsidRPr="00FB1545" w:rsidRDefault="00603F3F" w:rsidP="003E3269">
      <w:pPr>
        <w:pStyle w:val="Titolo3"/>
        <w:keepNext w:val="0"/>
        <w:widowControl w:val="0"/>
        <w:numPr>
          <w:ilvl w:val="1"/>
          <w:numId w:val="31"/>
        </w:numPr>
        <w:spacing w:line="276" w:lineRule="auto"/>
        <w:ind w:left="567" w:hanging="567"/>
        <w:contextualSpacing w:val="0"/>
      </w:pPr>
      <w:bookmarkStart w:id="623" w:name="_Toc454796236"/>
      <w:bookmarkStart w:id="624" w:name="_Toc454796298"/>
      <w:bookmarkStart w:id="625" w:name="_Toc473547414"/>
      <w:bookmarkStart w:id="626" w:name="_Toc535854450"/>
      <w:r w:rsidRPr="00FB1545">
        <w:t>La rotazione dei Responsabili e dei dipendenti</w:t>
      </w:r>
      <w:bookmarkEnd w:id="623"/>
      <w:bookmarkEnd w:id="624"/>
      <w:bookmarkEnd w:id="625"/>
      <w:bookmarkEnd w:id="626"/>
      <w:r w:rsidRPr="00FB1545">
        <w:t xml:space="preserve"> </w:t>
      </w:r>
    </w:p>
    <w:p w14:paraId="2DEEFF72" w14:textId="7F83D13F" w:rsidR="00603F3F" w:rsidRPr="00EB729B" w:rsidRDefault="00603F3F" w:rsidP="00603F3F">
      <w:pPr>
        <w:pStyle w:val="Default"/>
        <w:widowControl w:val="0"/>
        <w:spacing w:line="276" w:lineRule="auto"/>
        <w:jc w:val="both"/>
        <w:rPr>
          <w:rFonts w:ascii="Times New Roman" w:hAnsi="Times New Roman" w:cs="Times New Roman"/>
          <w:sz w:val="20"/>
          <w:szCs w:val="20"/>
        </w:rPr>
      </w:pPr>
      <w:r w:rsidRPr="00EB729B">
        <w:rPr>
          <w:rFonts w:ascii="Times New Roman" w:hAnsi="Times New Roman"/>
          <w:sz w:val="20"/>
          <w:szCs w:val="20"/>
        </w:rPr>
        <w:t xml:space="preserve">La rotazione del personale è una tecnica gestionale che prevede la possibilità di spostare periodicamente i dipendenti in diversi settori e consente di conoscere le varie fasi del processo produttivo aziendale nell'ottica di una visione globale dei problemi che si possono manifestare, a livello di relazioni umane e a livello operativo. </w:t>
      </w:r>
      <w:r w:rsidRPr="00EB729B">
        <w:rPr>
          <w:rFonts w:ascii="Times New Roman" w:hAnsi="Times New Roman" w:cs="Times New Roman"/>
          <w:sz w:val="20"/>
          <w:szCs w:val="20"/>
        </w:rPr>
        <w:t>La rotazione del personale</w:t>
      </w:r>
      <w:r>
        <w:rPr>
          <w:rFonts w:ascii="Times New Roman" w:hAnsi="Times New Roman" w:cs="Times New Roman"/>
          <w:sz w:val="20"/>
          <w:szCs w:val="20"/>
        </w:rPr>
        <w:t>,</w:t>
      </w:r>
      <w:r w:rsidRPr="00EB729B">
        <w:rPr>
          <w:rFonts w:ascii="Times New Roman" w:hAnsi="Times New Roman" w:cs="Times New Roman"/>
          <w:sz w:val="20"/>
          <w:szCs w:val="20"/>
        </w:rPr>
        <w:t xml:space="preserve"> oltre che come misura di arricchimento del bagaglio professionale del dipendente e come misura di efficienza dell’organizzazione degli uffici, è prevista in modo espresso dalla legge n. 190 del 2012 (art. 1, comma 4, lettera e); comma 5, lettera b); comma 10, lettera b)) come misura anticorruzione.</w:t>
      </w:r>
      <w:r>
        <w:rPr>
          <w:rFonts w:ascii="Times New Roman" w:hAnsi="Times New Roman" w:cs="Times New Roman"/>
          <w:sz w:val="20"/>
          <w:szCs w:val="20"/>
        </w:rPr>
        <w:t xml:space="preserve"> </w:t>
      </w:r>
    </w:p>
    <w:p w14:paraId="5A0EC42A" w14:textId="77777777" w:rsidR="00603F3F" w:rsidRPr="00EB729B" w:rsidRDefault="00603F3F" w:rsidP="00603F3F">
      <w:pPr>
        <w:pStyle w:val="Default"/>
        <w:widowControl w:val="0"/>
        <w:spacing w:line="276" w:lineRule="auto"/>
        <w:jc w:val="both"/>
        <w:rPr>
          <w:rFonts w:ascii="Times New Roman" w:hAnsi="Times New Roman" w:cs="Times New Roman"/>
          <w:sz w:val="20"/>
          <w:szCs w:val="20"/>
        </w:rPr>
      </w:pPr>
    </w:p>
    <w:p w14:paraId="10E4E2B6" w14:textId="13957C6B"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EB729B">
        <w:rPr>
          <w:rFonts w:ascii="Times New Roman" w:hAnsi="Times New Roman"/>
          <w:sz w:val="20"/>
          <w:szCs w:val="20"/>
        </w:rPr>
        <w:t xml:space="preserve">La rotazione del personale maggiormente esposto ai rischi di corruzione, pur non costituendo l’unico strumento di prevenzione è, come </w:t>
      </w:r>
      <w:r>
        <w:rPr>
          <w:rFonts w:ascii="Times New Roman" w:hAnsi="Times New Roman"/>
          <w:sz w:val="20"/>
          <w:szCs w:val="20"/>
        </w:rPr>
        <w:t xml:space="preserve">anche </w:t>
      </w:r>
      <w:r w:rsidRPr="00EB729B">
        <w:rPr>
          <w:rFonts w:ascii="Times New Roman" w:hAnsi="Times New Roman"/>
          <w:sz w:val="20"/>
          <w:szCs w:val="20"/>
        </w:rPr>
        <w:t>affermato dal PNA 201</w:t>
      </w:r>
      <w:r>
        <w:rPr>
          <w:rFonts w:ascii="Times New Roman" w:hAnsi="Times New Roman"/>
          <w:sz w:val="20"/>
          <w:szCs w:val="20"/>
        </w:rPr>
        <w:t>6</w:t>
      </w:r>
      <w:r w:rsidRPr="00EB729B">
        <w:rPr>
          <w:rFonts w:ascii="Times New Roman" w:hAnsi="Times New Roman"/>
          <w:sz w:val="20"/>
          <w:szCs w:val="20"/>
        </w:rPr>
        <w:t>, misura fondamentale di prevenzione della corruzione</w:t>
      </w:r>
      <w:r>
        <w:rPr>
          <w:rFonts w:ascii="Times New Roman" w:hAnsi="Times New Roman"/>
          <w:sz w:val="20"/>
          <w:szCs w:val="20"/>
        </w:rPr>
        <w:t>. Nel suddetto PNA, l’Autorità dedica un particolare approfondimento alla materia distinguendo fra la rotazione ordinaria prevista dalla legge 190/2012 e la rotazione straordinaria prevista dall’articolo 16, co. 1, lett. 1-</w:t>
      </w:r>
      <w:r w:rsidRPr="00434C9D">
        <w:rPr>
          <w:rFonts w:ascii="Times New Roman" w:hAnsi="Times New Roman"/>
          <w:i/>
          <w:sz w:val="20"/>
          <w:szCs w:val="20"/>
        </w:rPr>
        <w:t xml:space="preserve">quater </w:t>
      </w:r>
      <w:r>
        <w:rPr>
          <w:rFonts w:ascii="Times New Roman" w:hAnsi="Times New Roman"/>
          <w:sz w:val="20"/>
          <w:szCs w:val="20"/>
        </w:rPr>
        <w:t xml:space="preserve">del d.lgs. 165/2001, che si attiva successivamente al verificarsi di fenomeni corruttivi. </w:t>
      </w:r>
      <w:r w:rsidRPr="00EB729B">
        <w:rPr>
          <w:rFonts w:ascii="Times New Roman" w:hAnsi="Times New Roman"/>
          <w:color w:val="000000"/>
          <w:sz w:val="20"/>
          <w:szCs w:val="20"/>
          <w:lang w:eastAsia="it-IT"/>
        </w:rPr>
        <w:t xml:space="preserve">La ratio delle previsioni normative ad oggi emanate è quella di evitare che possano consolidarsi posizioni di privilegio nella gestione diretta di attività e di evitare che il medesimo dipendente tratti lo stesso tipo di procedimenti per lungo tempo, relazionandosi sempre con i medesimi utenti. </w:t>
      </w:r>
    </w:p>
    <w:p w14:paraId="0B2ECEB2" w14:textId="77777777"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DE47882" w14:textId="38AA2CDE" w:rsidR="00603F3F" w:rsidRPr="00EB729B" w:rsidRDefault="00603F3F" w:rsidP="00603F3F">
      <w:pPr>
        <w:pStyle w:val="Default"/>
        <w:widowControl w:val="0"/>
        <w:spacing w:line="276" w:lineRule="auto"/>
        <w:jc w:val="both"/>
        <w:rPr>
          <w:rFonts w:ascii="Times New Roman" w:hAnsi="Times New Roman" w:cs="Times New Roman"/>
          <w:sz w:val="20"/>
          <w:szCs w:val="20"/>
        </w:rPr>
      </w:pPr>
      <w:r w:rsidRPr="00EB729B">
        <w:rPr>
          <w:rFonts w:ascii="Times New Roman" w:hAnsi="Times New Roman"/>
          <w:sz w:val="20"/>
          <w:szCs w:val="20"/>
        </w:rPr>
        <w:t xml:space="preserve">La rotazione </w:t>
      </w:r>
      <w:r>
        <w:rPr>
          <w:rFonts w:ascii="Times New Roman" w:hAnsi="Times New Roman"/>
          <w:sz w:val="20"/>
          <w:szCs w:val="20"/>
        </w:rPr>
        <w:t xml:space="preserve">ordinaria </w:t>
      </w:r>
      <w:r w:rsidRPr="00EB729B">
        <w:rPr>
          <w:rFonts w:ascii="Times New Roman" w:hAnsi="Times New Roman"/>
          <w:sz w:val="20"/>
          <w:szCs w:val="20"/>
        </w:rPr>
        <w:t>del personale rappresenta l’azione di maggiore impatto sulla struttura organizzativa in quanto deve essere attuata con la necessità di mantenere continuità e coerenza degli indirizzi e delle competenze al fine di scongiurare un rallentamento nell’esercizio delle attività</w:t>
      </w:r>
      <w:r>
        <w:rPr>
          <w:rFonts w:ascii="Times New Roman" w:hAnsi="Times New Roman"/>
          <w:sz w:val="20"/>
          <w:szCs w:val="20"/>
        </w:rPr>
        <w:t xml:space="preserve"> e, pertanto, è </w:t>
      </w:r>
      <w:r w:rsidRPr="00EB729B">
        <w:rPr>
          <w:rFonts w:ascii="Times New Roman" w:hAnsi="Times New Roman" w:cs="Times New Roman"/>
          <w:sz w:val="20"/>
          <w:szCs w:val="20"/>
        </w:rPr>
        <w:t>rimessa alla autonoma determinazione delle amministrazioni, che in tal modo potranno adeguare la misura alla concreta situazione dell’organizzazione dei propri uffici</w:t>
      </w:r>
      <w:r>
        <w:rPr>
          <w:rFonts w:ascii="Times New Roman" w:hAnsi="Times New Roman" w:cs="Times New Roman"/>
          <w:sz w:val="20"/>
          <w:szCs w:val="20"/>
        </w:rPr>
        <w:t xml:space="preserve">. </w:t>
      </w:r>
      <w:r w:rsidRPr="00EB729B">
        <w:rPr>
          <w:rFonts w:ascii="Times New Roman" w:hAnsi="Times New Roman" w:cs="Times New Roman"/>
          <w:sz w:val="20"/>
          <w:szCs w:val="20"/>
        </w:rPr>
        <w:t xml:space="preserve">La rotazione </w:t>
      </w:r>
      <w:r>
        <w:rPr>
          <w:rFonts w:ascii="Times New Roman" w:hAnsi="Times New Roman" w:cs="Times New Roman"/>
          <w:sz w:val="20"/>
          <w:szCs w:val="20"/>
        </w:rPr>
        <w:t xml:space="preserve">ordinaria </w:t>
      </w:r>
      <w:r w:rsidRPr="00EB729B">
        <w:rPr>
          <w:rFonts w:ascii="Times New Roman" w:hAnsi="Times New Roman" w:cs="Times New Roman"/>
          <w:sz w:val="20"/>
          <w:szCs w:val="20"/>
        </w:rPr>
        <w:t xml:space="preserve">incontra dei limiti </w:t>
      </w:r>
      <w:r>
        <w:rPr>
          <w:rFonts w:ascii="Times New Roman" w:hAnsi="Times New Roman" w:cs="Times New Roman"/>
          <w:sz w:val="20"/>
          <w:szCs w:val="20"/>
        </w:rPr>
        <w:t xml:space="preserve">sia </w:t>
      </w:r>
      <w:r w:rsidRPr="00EB729B">
        <w:rPr>
          <w:rFonts w:ascii="Times New Roman" w:hAnsi="Times New Roman" w:cs="Times New Roman"/>
          <w:sz w:val="20"/>
          <w:szCs w:val="20"/>
        </w:rPr>
        <w:t>oggettivi</w:t>
      </w:r>
      <w:r>
        <w:rPr>
          <w:rFonts w:ascii="Times New Roman" w:hAnsi="Times New Roman" w:cs="Times New Roman"/>
          <w:sz w:val="20"/>
          <w:szCs w:val="20"/>
        </w:rPr>
        <w:t xml:space="preserve"> sia soggettivi.</w:t>
      </w:r>
      <w:r w:rsidRPr="00EB729B">
        <w:rPr>
          <w:rFonts w:ascii="Times New Roman" w:hAnsi="Times New Roman" w:cs="Times New Roman"/>
          <w:sz w:val="20"/>
          <w:szCs w:val="20"/>
        </w:rPr>
        <w:t xml:space="preserve"> </w:t>
      </w:r>
      <w:r>
        <w:rPr>
          <w:rFonts w:ascii="Times New Roman" w:hAnsi="Times New Roman" w:cs="Times New Roman"/>
          <w:sz w:val="20"/>
          <w:szCs w:val="20"/>
        </w:rPr>
        <w:t>I limiti oggettivi sono rappresentati dal</w:t>
      </w:r>
      <w:r w:rsidRPr="00EB729B">
        <w:rPr>
          <w:rFonts w:ascii="Times New Roman" w:hAnsi="Times New Roman" w:cs="Times New Roman"/>
          <w:sz w:val="20"/>
          <w:szCs w:val="20"/>
        </w:rPr>
        <w:t>l’esigenza di assicurare il buon andamento e la continuità dell’azione amministrativa e di garantire la qualità delle competenze professionali necessarie per lo svolgimento di talune attività specifiche, con particolare riguardo a quelle con elevato contenuto tecnico. Pertanto non si deve dare luogo a misure di rotazione se esse comportano la sottrazione di competenze professionali specialistiche da uffici cui sono affidate attività ad elevato contenuto tecnico</w:t>
      </w:r>
      <w:r>
        <w:rPr>
          <w:rFonts w:ascii="Times New Roman" w:hAnsi="Times New Roman" w:cs="Times New Roman"/>
          <w:sz w:val="20"/>
          <w:szCs w:val="20"/>
        </w:rPr>
        <w:t>. Nel caso in cui non sia possibile adottare la misura, ad esempio, per carenza di personale o per professionalità con elevato contenuto tecnico, le amministrazioni e gli enti sono tenuti ad operare scelte organizzative o adottare altre misure di natura preventiva con effetti analoghi. I</w:t>
      </w:r>
      <w:r w:rsidRPr="00EB729B">
        <w:rPr>
          <w:rFonts w:ascii="Times New Roman" w:hAnsi="Times New Roman" w:cs="Times New Roman"/>
          <w:sz w:val="20"/>
          <w:szCs w:val="20"/>
        </w:rPr>
        <w:t xml:space="preserve"> limiti soggettivi</w:t>
      </w:r>
      <w:r>
        <w:rPr>
          <w:rFonts w:ascii="Times New Roman" w:hAnsi="Times New Roman" w:cs="Times New Roman"/>
          <w:sz w:val="20"/>
          <w:szCs w:val="20"/>
        </w:rPr>
        <w:t xml:space="preserve"> sono rappresentati principalmente</w:t>
      </w:r>
      <w:r w:rsidRPr="00EB729B">
        <w:rPr>
          <w:rFonts w:ascii="Times New Roman" w:hAnsi="Times New Roman" w:cs="Times New Roman"/>
          <w:sz w:val="20"/>
          <w:szCs w:val="20"/>
        </w:rPr>
        <w:t xml:space="preserve"> </w:t>
      </w:r>
      <w:r>
        <w:rPr>
          <w:rFonts w:ascii="Times New Roman" w:hAnsi="Times New Roman" w:cs="Times New Roman"/>
          <w:sz w:val="20"/>
          <w:szCs w:val="20"/>
        </w:rPr>
        <w:t>d</w:t>
      </w:r>
      <w:r w:rsidRPr="00EB729B">
        <w:rPr>
          <w:rFonts w:ascii="Times New Roman" w:hAnsi="Times New Roman" w:cs="Times New Roman"/>
          <w:sz w:val="20"/>
          <w:szCs w:val="20"/>
        </w:rPr>
        <w:t xml:space="preserve">ai diritti individuali dei dipendenti soggetti alla misura e </w:t>
      </w:r>
      <w:r>
        <w:rPr>
          <w:rFonts w:ascii="Times New Roman" w:hAnsi="Times New Roman" w:cs="Times New Roman"/>
          <w:sz w:val="20"/>
          <w:szCs w:val="20"/>
        </w:rPr>
        <w:t>d</w:t>
      </w:r>
      <w:r w:rsidRPr="00EB729B">
        <w:rPr>
          <w:rFonts w:ascii="Times New Roman" w:hAnsi="Times New Roman" w:cs="Times New Roman"/>
          <w:sz w:val="20"/>
          <w:szCs w:val="20"/>
        </w:rPr>
        <w:t>ai diritti sindacali. Le misure di rotazione devono contemperare le esigenze di tutela oggettiva dell</w:t>
      </w:r>
      <w:r>
        <w:rPr>
          <w:rFonts w:ascii="Times New Roman" w:hAnsi="Times New Roman" w:cs="Times New Roman"/>
          <w:sz w:val="20"/>
          <w:szCs w:val="20"/>
        </w:rPr>
        <w:t>a società</w:t>
      </w:r>
      <w:r w:rsidRPr="00EB729B">
        <w:rPr>
          <w:rFonts w:ascii="Times New Roman" w:hAnsi="Times New Roman" w:cs="Times New Roman"/>
          <w:sz w:val="20"/>
          <w:szCs w:val="20"/>
        </w:rPr>
        <w:t xml:space="preserve"> (il suo prestigio, la sua imparzialità, la sua funzionalità) con tali diritti</w:t>
      </w:r>
      <w:r>
        <w:rPr>
          <w:rFonts w:ascii="Times New Roman" w:hAnsi="Times New Roman" w:cs="Times New Roman"/>
          <w:sz w:val="20"/>
          <w:szCs w:val="20"/>
        </w:rPr>
        <w:t>.</w:t>
      </w:r>
    </w:p>
    <w:p w14:paraId="00EFE2F4" w14:textId="77777777" w:rsidR="00603F3F" w:rsidRPr="00EB729B" w:rsidRDefault="00603F3F" w:rsidP="00603F3F">
      <w:pPr>
        <w:widowControl w:val="0"/>
        <w:spacing w:after="0"/>
        <w:jc w:val="both"/>
        <w:rPr>
          <w:rFonts w:ascii="Times New Roman" w:hAnsi="Times New Roman"/>
          <w:sz w:val="20"/>
          <w:szCs w:val="20"/>
        </w:rPr>
      </w:pPr>
    </w:p>
    <w:p w14:paraId="3FD6E50F" w14:textId="31130B26" w:rsidR="00603F3F" w:rsidRDefault="00603F3F" w:rsidP="00603F3F">
      <w:pPr>
        <w:pStyle w:val="Default"/>
        <w:widowControl w:val="0"/>
        <w:spacing w:line="276" w:lineRule="auto"/>
        <w:jc w:val="both"/>
        <w:rPr>
          <w:rFonts w:ascii="Times New Roman" w:hAnsi="Times New Roman" w:cs="Times New Roman"/>
          <w:sz w:val="20"/>
          <w:szCs w:val="20"/>
        </w:rPr>
      </w:pPr>
      <w:r w:rsidRPr="00EB729B">
        <w:rPr>
          <w:rFonts w:ascii="Times New Roman" w:hAnsi="Times New Roman"/>
          <w:sz w:val="20"/>
          <w:szCs w:val="20"/>
        </w:rPr>
        <w:t xml:space="preserve">Ai sensi delle disposizioni normative e regolamentari in ambito anticorruzione e trasparenza le pubbliche amministrazioni sono tenute ad adottare adeguati criteri per realizzare la rotazione del personale dirigenziale e del personale con funzioni di responsabilità (ivi compresi i responsabili del procedimento) operante nelle aree a più elevato rischio di corruzione. </w:t>
      </w:r>
      <w:r w:rsidRPr="00EB729B">
        <w:rPr>
          <w:rFonts w:ascii="Times New Roman" w:hAnsi="Times New Roman" w:cs="Times New Roman"/>
          <w:sz w:val="20"/>
          <w:szCs w:val="20"/>
        </w:rPr>
        <w:t>I criteri di rotazione devono essere previsti nei PTPC e nei successivi atti attuativi e i provvedimenti di trasferimento devono essere adeguatamente motivati</w:t>
      </w:r>
      <w:r>
        <w:rPr>
          <w:rFonts w:ascii="Times New Roman" w:hAnsi="Times New Roman" w:cs="Times New Roman"/>
          <w:sz w:val="20"/>
          <w:szCs w:val="20"/>
        </w:rPr>
        <w:t>.</w:t>
      </w:r>
    </w:p>
    <w:p w14:paraId="1F6FA7F2" w14:textId="77777777" w:rsidR="00603F3F" w:rsidRPr="00EB729B" w:rsidRDefault="00603F3F" w:rsidP="00603F3F">
      <w:pPr>
        <w:pStyle w:val="Default"/>
        <w:widowControl w:val="0"/>
        <w:spacing w:line="276" w:lineRule="auto"/>
        <w:jc w:val="both"/>
        <w:rPr>
          <w:rFonts w:ascii="Times New Roman" w:hAnsi="Times New Roman" w:cs="Times New Roman"/>
          <w:sz w:val="20"/>
          <w:szCs w:val="20"/>
        </w:rPr>
      </w:pPr>
    </w:p>
    <w:p w14:paraId="321E59F3" w14:textId="5C6B0183"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rotazione ordinaria</w:t>
      </w:r>
    </w:p>
    <w:p w14:paraId="5F19F96C" w14:textId="4857C14D"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società</w:t>
      </w:r>
      <w:r w:rsidRPr="00EB729B">
        <w:rPr>
          <w:rFonts w:ascii="Times New Roman" w:hAnsi="Times New Roman"/>
          <w:color w:val="000000"/>
          <w:sz w:val="20"/>
          <w:szCs w:val="20"/>
          <w:lang w:eastAsia="it-IT"/>
        </w:rPr>
        <w:t xml:space="preserve"> assicura la rotazione dei Responsabili e dei Coordinatori dei progetti operativi nelle Aree a più elevato rischio di corruzione (come risultanti dal presente Piano) attraverso l’applicazione </w:t>
      </w:r>
      <w:r>
        <w:rPr>
          <w:rFonts w:ascii="Times New Roman" w:hAnsi="Times New Roman"/>
          <w:color w:val="000000"/>
          <w:sz w:val="20"/>
          <w:szCs w:val="20"/>
          <w:lang w:eastAsia="it-IT"/>
        </w:rPr>
        <w:t>di norme p</w:t>
      </w:r>
      <w:r w:rsidRPr="00EB729B">
        <w:rPr>
          <w:rFonts w:ascii="Times New Roman" w:hAnsi="Times New Roman"/>
          <w:color w:val="000000"/>
          <w:sz w:val="20"/>
          <w:szCs w:val="20"/>
          <w:lang w:eastAsia="it-IT"/>
        </w:rPr>
        <w:t>er la rotazione adottat</w:t>
      </w:r>
      <w:r>
        <w:rPr>
          <w:rFonts w:ascii="Times New Roman" w:hAnsi="Times New Roman"/>
          <w:color w:val="000000"/>
          <w:sz w:val="20"/>
          <w:szCs w:val="20"/>
          <w:lang w:eastAsia="it-IT"/>
        </w:rPr>
        <w:t>e</w:t>
      </w:r>
      <w:r w:rsidRPr="00EB729B">
        <w:rPr>
          <w:rFonts w:ascii="Times New Roman" w:hAnsi="Times New Roman"/>
          <w:color w:val="000000"/>
          <w:sz w:val="20"/>
          <w:szCs w:val="20"/>
          <w:lang w:eastAsia="it-IT"/>
        </w:rPr>
        <w:t xml:space="preserve"> previa informativa alle OO.SS., e contenent</w:t>
      </w:r>
      <w:r>
        <w:rPr>
          <w:rFonts w:ascii="Times New Roman" w:hAnsi="Times New Roman"/>
          <w:color w:val="000000"/>
          <w:sz w:val="20"/>
          <w:szCs w:val="20"/>
          <w:lang w:eastAsia="it-IT"/>
        </w:rPr>
        <w:t>i</w:t>
      </w:r>
      <w:r w:rsidRPr="00EB729B">
        <w:rPr>
          <w:rFonts w:ascii="Times New Roman" w:hAnsi="Times New Roman"/>
          <w:color w:val="000000"/>
          <w:sz w:val="20"/>
          <w:szCs w:val="20"/>
          <w:lang w:eastAsia="it-IT"/>
        </w:rPr>
        <w:t xml:space="preserve"> i criteri generali oggettivi, sulla base dei principi, declinati dalla citata Intesa e dal P.N.A. (per il personale dirigenziale addetto alle aree a più elevato rischio; per il personale non dirigenziale secondo criteri di ragionevolezza, tenuto conto anche delle esigenze organizzative). L’attuazione di tale misura deve comunque avvenire in modo da tener conto delle specificità professionali in riferimento alle funzioni e in modo da salvaguardare la continuità della gestione amministrativa. La rotazione degli incarichi del personale non dirigenziale non potrà di norma avvenire in concomitanza con quella dei </w:t>
      </w:r>
      <w:r w:rsidR="00412CF3">
        <w:rPr>
          <w:rFonts w:ascii="Times New Roman" w:hAnsi="Times New Roman"/>
          <w:color w:val="000000"/>
          <w:sz w:val="20"/>
          <w:szCs w:val="20"/>
          <w:lang w:eastAsia="it-IT"/>
        </w:rPr>
        <w:t>Responsabili</w:t>
      </w:r>
      <w:r w:rsidRPr="00EB729B">
        <w:rPr>
          <w:rFonts w:ascii="Times New Roman" w:hAnsi="Times New Roman"/>
          <w:color w:val="000000"/>
          <w:sz w:val="20"/>
          <w:szCs w:val="20"/>
          <w:lang w:eastAsia="it-IT"/>
        </w:rPr>
        <w:t>.</w:t>
      </w:r>
    </w:p>
    <w:p w14:paraId="0EEFA13F" w14:textId="77777777"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2828F50" w14:textId="7F25D9CB"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 rotazione straordinaria</w:t>
      </w:r>
    </w:p>
    <w:p w14:paraId="65C092D4" w14:textId="00A6C388" w:rsidR="00603F3F" w:rsidRPr="00EB729B"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EB729B">
        <w:rPr>
          <w:rFonts w:ascii="Times New Roman" w:hAnsi="Times New Roman"/>
          <w:color w:val="000000"/>
          <w:sz w:val="20"/>
          <w:szCs w:val="20"/>
          <w:lang w:eastAsia="it-IT"/>
        </w:rPr>
        <w:t xml:space="preserve">In caso di notizia formale di avvio di un procedimento penale a carico di un dipendente e in caso di avvio di procedimento disciplinare per fatti di natura corruttiva ferma restando la possibilità di adottare la sospensione del rapporto, la </w:t>
      </w:r>
      <w:r>
        <w:rPr>
          <w:rFonts w:ascii="Times New Roman" w:hAnsi="Times New Roman"/>
          <w:color w:val="000000"/>
          <w:sz w:val="20"/>
          <w:szCs w:val="20"/>
          <w:lang w:eastAsia="it-IT"/>
        </w:rPr>
        <w:t>società</w:t>
      </w:r>
      <w:r w:rsidRPr="00EB729B">
        <w:rPr>
          <w:rFonts w:ascii="Times New Roman" w:hAnsi="Times New Roman"/>
          <w:color w:val="000000"/>
          <w:sz w:val="20"/>
          <w:szCs w:val="20"/>
          <w:lang w:eastAsia="it-IT"/>
        </w:rPr>
        <w:t xml:space="preserve">: </w:t>
      </w:r>
    </w:p>
    <w:p w14:paraId="27CDB3A6" w14:textId="6D28C30F" w:rsidR="00603F3F" w:rsidRPr="00412CF3" w:rsidRDefault="00603F3F" w:rsidP="00603F3F">
      <w:pPr>
        <w:widowControl w:val="0"/>
        <w:spacing w:after="0"/>
        <w:ind w:left="284" w:hanging="284"/>
        <w:jc w:val="both"/>
        <w:rPr>
          <w:rFonts w:ascii="Times New Roman" w:eastAsia="Times New Roman" w:hAnsi="Times New Roman"/>
          <w:i/>
          <w:sz w:val="20"/>
          <w:szCs w:val="20"/>
          <w:lang w:eastAsia="it-IT"/>
        </w:rPr>
      </w:pPr>
      <w:r w:rsidRPr="00EB729B">
        <w:rPr>
          <w:rFonts w:ascii="Times New Roman" w:eastAsia="Times New Roman" w:hAnsi="Times New Roman"/>
          <w:sz w:val="20"/>
          <w:szCs w:val="20"/>
          <w:lang w:eastAsia="it-IT"/>
        </w:rPr>
        <w:t>-</w:t>
      </w:r>
      <w:r w:rsidRPr="00EB729B">
        <w:rPr>
          <w:rFonts w:ascii="Times New Roman" w:eastAsia="Times New Roman" w:hAnsi="Times New Roman"/>
          <w:sz w:val="20"/>
          <w:szCs w:val="20"/>
          <w:lang w:eastAsia="it-IT"/>
        </w:rPr>
        <w:tab/>
      </w:r>
      <w:r w:rsidRPr="00412CF3">
        <w:rPr>
          <w:rFonts w:ascii="Times New Roman" w:eastAsia="Times New Roman" w:hAnsi="Times New Roman"/>
          <w:i/>
          <w:sz w:val="20"/>
          <w:szCs w:val="20"/>
          <w:lang w:eastAsia="it-IT"/>
        </w:rPr>
        <w:t xml:space="preserve">per i </w:t>
      </w:r>
      <w:r w:rsidR="00F32723" w:rsidRPr="00412CF3">
        <w:rPr>
          <w:rFonts w:ascii="Times New Roman" w:eastAsia="Times New Roman" w:hAnsi="Times New Roman"/>
          <w:i/>
          <w:sz w:val="20"/>
          <w:szCs w:val="20"/>
          <w:lang w:eastAsia="it-IT"/>
        </w:rPr>
        <w:t>Responsabili</w:t>
      </w:r>
      <w:r w:rsidRPr="00412CF3">
        <w:rPr>
          <w:rFonts w:ascii="Times New Roman" w:eastAsia="Times New Roman" w:hAnsi="Times New Roman"/>
          <w:i/>
          <w:sz w:val="20"/>
          <w:szCs w:val="20"/>
          <w:lang w:eastAsia="it-IT"/>
        </w:rPr>
        <w:t>, revoca l’incarico in essere e dispone il passaggio ad altro incarico, ai sensi del combinato disposto dell’art. 16, comma 1, lett. l-quater</w:t>
      </w:r>
      <w:r w:rsidRPr="00412CF3">
        <w:rPr>
          <w:rStyle w:val="Rimandonotadichiusura"/>
          <w:rFonts w:ascii="Times New Roman" w:eastAsia="Times New Roman" w:hAnsi="Times New Roman"/>
          <w:i/>
          <w:sz w:val="20"/>
          <w:szCs w:val="20"/>
          <w:lang w:eastAsia="it-IT"/>
        </w:rPr>
        <w:endnoteReference w:id="50"/>
      </w:r>
      <w:r w:rsidRPr="00412CF3">
        <w:rPr>
          <w:rFonts w:ascii="Times New Roman" w:eastAsia="Times New Roman" w:hAnsi="Times New Roman"/>
          <w:i/>
          <w:sz w:val="20"/>
          <w:szCs w:val="20"/>
          <w:lang w:eastAsia="it-IT"/>
        </w:rPr>
        <w:t>, e dell’art. 55-ter, comma 1</w:t>
      </w:r>
      <w:r w:rsidRPr="00412CF3">
        <w:rPr>
          <w:rStyle w:val="Rimandonotadichiusura"/>
          <w:rFonts w:ascii="Times New Roman" w:eastAsia="Times New Roman" w:hAnsi="Times New Roman"/>
          <w:i/>
          <w:sz w:val="20"/>
          <w:szCs w:val="20"/>
          <w:lang w:eastAsia="it-IT"/>
        </w:rPr>
        <w:endnoteReference w:id="51"/>
      </w:r>
      <w:r w:rsidRPr="00412CF3">
        <w:rPr>
          <w:rFonts w:ascii="Times New Roman" w:eastAsia="Times New Roman" w:hAnsi="Times New Roman"/>
          <w:i/>
          <w:sz w:val="20"/>
          <w:szCs w:val="20"/>
          <w:lang w:eastAsia="it-IT"/>
        </w:rPr>
        <w:t>, del D. Lgs. n. 165 del 2001;</w:t>
      </w:r>
    </w:p>
    <w:p w14:paraId="1971AF9D" w14:textId="77777777" w:rsidR="00603F3F" w:rsidRPr="00412CF3" w:rsidRDefault="00603F3F" w:rsidP="00603F3F">
      <w:pPr>
        <w:widowControl w:val="0"/>
        <w:spacing w:after="0"/>
        <w:ind w:left="284" w:hanging="284"/>
        <w:jc w:val="both"/>
        <w:rPr>
          <w:rFonts w:ascii="Times New Roman" w:eastAsia="Times New Roman" w:hAnsi="Times New Roman"/>
          <w:i/>
          <w:sz w:val="20"/>
          <w:szCs w:val="20"/>
          <w:lang w:eastAsia="it-IT"/>
        </w:rPr>
      </w:pPr>
      <w:r w:rsidRPr="00412CF3">
        <w:rPr>
          <w:rFonts w:ascii="Times New Roman" w:eastAsia="Times New Roman" w:hAnsi="Times New Roman"/>
          <w:i/>
          <w:sz w:val="20"/>
          <w:szCs w:val="20"/>
          <w:lang w:eastAsia="it-IT"/>
        </w:rPr>
        <w:t>-</w:t>
      </w:r>
      <w:r w:rsidRPr="00412CF3">
        <w:rPr>
          <w:rFonts w:ascii="Times New Roman" w:eastAsia="Times New Roman" w:hAnsi="Times New Roman"/>
          <w:i/>
          <w:sz w:val="20"/>
          <w:szCs w:val="20"/>
          <w:lang w:eastAsia="it-IT"/>
        </w:rPr>
        <w:tab/>
        <w:t>per il personale non dirigenziale procede all’assegnazione ad altro ufficio ai sensi del citato art. 16, comma 1, lett. l-quater del D. Lgs. n. 165 del 2001</w:t>
      </w:r>
      <w:r w:rsidRPr="00412CF3">
        <w:rPr>
          <w:rStyle w:val="Rimandonotadichiusura"/>
          <w:rFonts w:ascii="Times New Roman" w:eastAsia="Times New Roman" w:hAnsi="Times New Roman"/>
          <w:i/>
          <w:sz w:val="20"/>
          <w:szCs w:val="20"/>
          <w:lang w:eastAsia="it-IT"/>
        </w:rPr>
        <w:endnoteReference w:id="52"/>
      </w:r>
      <w:r w:rsidRPr="00412CF3">
        <w:rPr>
          <w:rFonts w:ascii="Times New Roman" w:eastAsia="Times New Roman" w:hAnsi="Times New Roman"/>
          <w:i/>
          <w:sz w:val="20"/>
          <w:szCs w:val="20"/>
          <w:lang w:eastAsia="it-IT"/>
        </w:rPr>
        <w:t xml:space="preserve">. </w:t>
      </w:r>
    </w:p>
    <w:p w14:paraId="396AD860" w14:textId="77777777" w:rsidR="00603F3F"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p>
    <w:p w14:paraId="52FBB982" w14:textId="38904CBC"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649A5">
        <w:rPr>
          <w:rFonts w:ascii="Times New Roman" w:hAnsi="Times New Roman"/>
          <w:b/>
          <w:color w:val="000000"/>
          <w:sz w:val="20"/>
          <w:szCs w:val="20"/>
          <w:lang w:eastAsia="it-IT"/>
        </w:rPr>
        <w:t>Responsabili della misura</w:t>
      </w:r>
      <w:r w:rsidRPr="0059605D">
        <w:rPr>
          <w:rFonts w:ascii="Times New Roman" w:hAnsi="Times New Roman"/>
          <w:color w:val="000000"/>
          <w:sz w:val="20"/>
          <w:szCs w:val="20"/>
          <w:lang w:eastAsia="it-IT"/>
        </w:rPr>
        <w:t xml:space="preserve">: </w:t>
      </w:r>
      <w:r w:rsidR="00A02622" w:rsidRPr="0059605D">
        <w:rPr>
          <w:rFonts w:ascii="Times New Roman" w:hAnsi="Times New Roman"/>
          <w:color w:val="000000"/>
          <w:sz w:val="20"/>
          <w:szCs w:val="20"/>
          <w:lang w:eastAsia="it-IT"/>
        </w:rPr>
        <w:t>Amministratore Unico e Direttore generale</w:t>
      </w:r>
    </w:p>
    <w:p w14:paraId="1E0899E1"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B04048F"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627" w:name="_Toc454796237"/>
      <w:bookmarkStart w:id="628" w:name="_Toc454796299"/>
      <w:bookmarkStart w:id="629" w:name="_Toc473547415"/>
      <w:bookmarkStart w:id="630" w:name="_Toc535854451"/>
      <w:r w:rsidRPr="00FB1545">
        <w:t>La tutela del dipendente che segnala illeciti e segnalazioni da parte del cittadino</w:t>
      </w:r>
      <w:bookmarkEnd w:id="627"/>
      <w:bookmarkEnd w:id="628"/>
      <w:bookmarkEnd w:id="629"/>
      <w:bookmarkEnd w:id="630"/>
      <w:r w:rsidRPr="00FB1545">
        <w:t xml:space="preserve"> </w:t>
      </w:r>
    </w:p>
    <w:p w14:paraId="41F2D9FF" w14:textId="7F0690FE"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Il dipendente che riferisce al proprio superiore gerarchico condotte che presume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 Le segnalazioni saranno valutate dal </w:t>
      </w:r>
      <w:r w:rsidR="00637D1D">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competente e, qualora questi ritenga che le stesse abbiano rilevanza disciplinare, procederà secondo la normativa vigente. Nel caso in cui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nell’esercizio delle funzioni attribuite con il presente Piano, venga a conoscenza di fatti che possano presentare una rilevanza disciplinare, dovrà darne informazione al </w:t>
      </w:r>
      <w:r w:rsidR="00C54C65">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della struttura nella quale presta servizio il dipendente coinvolto. Il </w:t>
      </w:r>
      <w:r w:rsidR="00C54C65">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procederà con le modalità sopra descritte. In sede di procedimento disciplinare a carico dell'eventuale responsabile del fatto illecito, l’identità del segnalante non potrà essere rivelata, senza il suo consenso, sempre che la contestazione dell’addebito disciplinare sia fondata su accertamenti distinti e ulteriori rispetto alla segnalazione. Qualora invece la contestazione sia fondata, in tutto o in parte, sulla segnalazione, l’identità del segnalante potrà essere rivelata ove la sua conoscenza sia indispensabile per la difesa dell’incolpato.</w:t>
      </w:r>
    </w:p>
    <w:p w14:paraId="0C06D2D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 quanto attiene il </w:t>
      </w:r>
      <w:r w:rsidRPr="00CD7FBE">
        <w:rPr>
          <w:rFonts w:ascii="Times New Roman" w:hAnsi="Times New Roman"/>
          <w:i/>
          <w:sz w:val="20"/>
          <w:szCs w:val="20"/>
        </w:rPr>
        <w:t>Whistleblowing</w:t>
      </w:r>
      <w:r w:rsidRPr="00CD7FBE">
        <w:rPr>
          <w:rFonts w:ascii="Times New Roman" w:hAnsi="Times New Roman"/>
          <w:sz w:val="20"/>
          <w:szCs w:val="20"/>
        </w:rPr>
        <w:t>,</w:t>
      </w:r>
      <w:r w:rsidRPr="00CD7FBE">
        <w:rPr>
          <w:rFonts w:ascii="Times New Roman" w:hAnsi="Times New Roman"/>
          <w:color w:val="000000"/>
          <w:sz w:val="20"/>
          <w:szCs w:val="20"/>
          <w:lang w:eastAsia="it-IT"/>
        </w:rPr>
        <w:t xml:space="preserve"> si fa rinvio, ai paragrafi precedenti per gli approfondimenti del caso.</w:t>
      </w:r>
    </w:p>
    <w:p w14:paraId="24EA9CE7" w14:textId="6BA36595" w:rsidR="00603F3F" w:rsidRPr="0059605D"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r w:rsidRPr="00BE69D2">
        <w:rPr>
          <w:rFonts w:ascii="Times New Roman" w:hAnsi="Times New Roman"/>
          <w:b/>
          <w:color w:val="000000"/>
          <w:sz w:val="20"/>
          <w:szCs w:val="20"/>
          <w:lang w:eastAsia="it-IT"/>
        </w:rPr>
        <w:t xml:space="preserve">Responsabili della misura: </w:t>
      </w:r>
      <w:r w:rsidR="00A02622" w:rsidRPr="00BE69D2">
        <w:rPr>
          <w:rFonts w:ascii="Times New Roman" w:hAnsi="Times New Roman"/>
          <w:b/>
          <w:color w:val="000000"/>
          <w:sz w:val="20"/>
          <w:szCs w:val="20"/>
          <w:lang w:eastAsia="it-IT"/>
        </w:rPr>
        <w:t>Direttore</w:t>
      </w:r>
      <w:r w:rsidRPr="00BE69D2">
        <w:rPr>
          <w:rFonts w:ascii="Times New Roman" w:hAnsi="Times New Roman"/>
          <w:b/>
          <w:color w:val="000000"/>
          <w:sz w:val="20"/>
          <w:szCs w:val="20"/>
          <w:lang w:eastAsia="it-IT"/>
        </w:rPr>
        <w:t xml:space="preserve"> e/o Responsabile </w:t>
      </w:r>
      <w:r w:rsidR="0081450B" w:rsidRPr="00BE69D2">
        <w:rPr>
          <w:rFonts w:ascii="Times New Roman" w:hAnsi="Times New Roman"/>
          <w:b/>
          <w:color w:val="000000"/>
          <w:sz w:val="20"/>
          <w:szCs w:val="20"/>
          <w:lang w:eastAsia="it-IT"/>
        </w:rPr>
        <w:t>del Settore e Divisione</w:t>
      </w:r>
      <w:r w:rsidRPr="00BE69D2">
        <w:rPr>
          <w:rFonts w:ascii="Times New Roman" w:hAnsi="Times New Roman"/>
          <w:b/>
          <w:color w:val="000000"/>
          <w:sz w:val="20"/>
          <w:szCs w:val="20"/>
          <w:lang w:eastAsia="it-IT"/>
        </w:rPr>
        <w:t xml:space="preserve"> presso cui viene svolta l’attività o l’</w:t>
      </w:r>
      <w:r w:rsidR="00A02622" w:rsidRPr="00BE69D2">
        <w:rPr>
          <w:rFonts w:ascii="Times New Roman" w:hAnsi="Times New Roman"/>
          <w:b/>
          <w:color w:val="000000"/>
          <w:sz w:val="20"/>
          <w:szCs w:val="20"/>
          <w:lang w:eastAsia="it-IT"/>
        </w:rPr>
        <w:t>Amministratore Unico</w:t>
      </w:r>
      <w:r w:rsidRPr="00BE69D2">
        <w:rPr>
          <w:rFonts w:ascii="Times New Roman" w:hAnsi="Times New Roman"/>
          <w:b/>
          <w:color w:val="000000"/>
          <w:sz w:val="20"/>
          <w:szCs w:val="20"/>
          <w:lang w:eastAsia="it-IT"/>
        </w:rPr>
        <w:t>.</w:t>
      </w:r>
    </w:p>
    <w:p w14:paraId="1964BE54"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bookmarkStart w:id="631" w:name="_Toc473547416"/>
    </w:p>
    <w:p w14:paraId="48E657EF"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632" w:name="_Toc454796238"/>
      <w:bookmarkStart w:id="633" w:name="_Toc454796300"/>
      <w:bookmarkStart w:id="634" w:name="_Toc535854452"/>
      <w:r w:rsidRPr="00FB1545">
        <w:t>Il conflitto di interessi</w:t>
      </w:r>
      <w:bookmarkEnd w:id="631"/>
      <w:bookmarkEnd w:id="632"/>
      <w:bookmarkEnd w:id="633"/>
      <w:bookmarkEnd w:id="634"/>
      <w:r w:rsidRPr="00FB1545">
        <w:t xml:space="preserve"> </w:t>
      </w:r>
    </w:p>
    <w:p w14:paraId="544E3F3C" w14:textId="0E105085"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Tutti i dipendenti/collaboratori/consulenti devono, nei loro rapporti esterni ed interni con clienti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fornitori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contraenti e concorrenti, comunque curare gli interessi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rispetto ad ogni altra situazione che possa concretizzare un vantaggio personale anche di natura non patrimoniale. Il Responsabile del procedimento, i titolari degli uffici competenti ad adottare pareri, valutazioni tecniche, atti endoprocedimentali ed il provvedimento finale ed i dipendenti destinati a operare nei settori e/o attività particolarmente esposti alla corruzione devono, in caso di conflitto di interessi, astenersi dall’attività, segnalando tempestivamente ogni situazione di conflitto anche potenziale. Per conflitto di interessi, reale o potenziale, si intende qualsiasi relazione intercorrente tra un dipendente/collaboratore/consulente e soggetti, persone fisiche o giuridiche, che possa risultare di pregiudizio per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w:t>
      </w:r>
    </w:p>
    <w:p w14:paraId="58DCC86C"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216813A2" w14:textId="4C50BB7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 conflitti di interesse devono essere resi noti con immediatezza, con dichiarazione scritta da inviarsi al </w:t>
      </w:r>
      <w:r w:rsidR="0059605D">
        <w:rPr>
          <w:rFonts w:ascii="Times New Roman" w:hAnsi="Times New Roman"/>
          <w:sz w:val="20"/>
          <w:szCs w:val="20"/>
          <w:lang w:eastAsia="it-IT"/>
        </w:rPr>
        <w:t xml:space="preserve">Direttore </w:t>
      </w:r>
      <w:r w:rsidRPr="00CD7FBE">
        <w:rPr>
          <w:rFonts w:ascii="Times New Roman" w:hAnsi="Times New Roman"/>
          <w:sz w:val="20"/>
          <w:szCs w:val="20"/>
          <w:lang w:eastAsia="it-IT"/>
        </w:rPr>
        <w:t>e/o al Re</w:t>
      </w:r>
      <w:r w:rsidR="0059605D">
        <w:rPr>
          <w:rFonts w:ascii="Times New Roman" w:hAnsi="Times New Roman"/>
          <w:sz w:val="20"/>
          <w:szCs w:val="20"/>
          <w:lang w:eastAsia="it-IT"/>
        </w:rPr>
        <w:t xml:space="preserve">sponsabile del Settore e/o Divisioni </w:t>
      </w:r>
      <w:r w:rsidRPr="00CD7FBE">
        <w:rPr>
          <w:rFonts w:ascii="Times New Roman" w:hAnsi="Times New Roman"/>
          <w:color w:val="000000"/>
          <w:sz w:val="20"/>
          <w:szCs w:val="20"/>
          <w:lang w:eastAsia="it-IT"/>
        </w:rPr>
        <w:t xml:space="preserve">presso cui viene svolta l’attività. Tutte le segnalazioni dovranno essere trasmesse, in copia, anche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È ugualmente necessario che, in sede d</w:t>
      </w:r>
      <w:r>
        <w:rPr>
          <w:rFonts w:ascii="Times New Roman" w:hAnsi="Times New Roman"/>
          <w:color w:val="000000"/>
          <w:sz w:val="20"/>
          <w:szCs w:val="20"/>
          <w:lang w:eastAsia="it-IT"/>
        </w:rPr>
        <w:t>ella</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 xml:space="preserve">comunicazione da rendersi da parte </w:t>
      </w:r>
      <w:r w:rsidRPr="00CD7FBE">
        <w:rPr>
          <w:rFonts w:ascii="Times New Roman" w:hAnsi="Times New Roman"/>
          <w:color w:val="000000"/>
          <w:sz w:val="20"/>
          <w:szCs w:val="20"/>
          <w:lang w:eastAsia="it-IT"/>
        </w:rPr>
        <w:t xml:space="preserve">dei dipendenti </w:t>
      </w:r>
      <w:r>
        <w:rPr>
          <w:rFonts w:ascii="Times New Roman" w:hAnsi="Times New Roman"/>
          <w:color w:val="000000"/>
          <w:sz w:val="20"/>
          <w:szCs w:val="20"/>
          <w:lang w:eastAsia="it-IT"/>
        </w:rPr>
        <w:t xml:space="preserve">nei casi di </w:t>
      </w:r>
      <w:r w:rsidRPr="00CD7FBE">
        <w:rPr>
          <w:rFonts w:ascii="Times New Roman" w:hAnsi="Times New Roman"/>
          <w:color w:val="000000"/>
          <w:sz w:val="20"/>
          <w:szCs w:val="20"/>
          <w:lang w:eastAsia="it-IT"/>
        </w:rPr>
        <w:t>svolgimento di incarichi extra istituzionali, sia verificata l’insussistenza di situazioni, anche potenziali, di conflitto di in</w:t>
      </w:r>
      <w:r w:rsidR="0059605D">
        <w:rPr>
          <w:rFonts w:ascii="Times New Roman" w:hAnsi="Times New Roman"/>
          <w:color w:val="000000"/>
          <w:sz w:val="20"/>
          <w:szCs w:val="20"/>
          <w:lang w:eastAsia="it-IT"/>
        </w:rPr>
        <w:t xml:space="preserve">teressi. Nell’ambito di ciascun Settore/Divisione </w:t>
      </w:r>
      <w:r w:rsidRPr="00CD7FBE">
        <w:rPr>
          <w:rFonts w:ascii="Times New Roman" w:hAnsi="Times New Roman"/>
          <w:color w:val="000000"/>
          <w:sz w:val="20"/>
          <w:szCs w:val="20"/>
          <w:lang w:eastAsia="it-IT"/>
        </w:rPr>
        <w:t xml:space="preserve">dovranno essere monitorati i rapporti tra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e i soggetti che con la stessa stipulano contratti o che sono interessati ad affidamenti verificando eventuali relazioni di parentela o affinità sussistenti tra i titolari, gli amministratori, i soci e i dipendenti degli stessi soggetti e i </w:t>
      </w:r>
      <w:r w:rsidR="0059605D">
        <w:rPr>
          <w:rFonts w:ascii="Times New Roman" w:hAnsi="Times New Roman"/>
          <w:color w:val="000000"/>
          <w:sz w:val="20"/>
          <w:szCs w:val="20"/>
          <w:lang w:eastAsia="it-IT"/>
        </w:rPr>
        <w:t>Responsabili</w:t>
      </w:r>
      <w:r w:rsidRPr="00CD7FBE">
        <w:rPr>
          <w:rFonts w:ascii="Times New Roman" w:hAnsi="Times New Roman"/>
          <w:color w:val="000000"/>
          <w:sz w:val="20"/>
          <w:szCs w:val="20"/>
          <w:lang w:eastAsia="it-IT"/>
        </w:rPr>
        <w:t xml:space="preserve"> e i dipendenti dell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 xml:space="preserve"> (art. 1, comma 9, lett. e), Legge n. 190/2012</w:t>
      </w:r>
      <w:r w:rsidRPr="00CD7FBE">
        <w:rPr>
          <w:rStyle w:val="Rimandonotadichiusura"/>
          <w:rFonts w:ascii="Times New Roman" w:hAnsi="Times New Roman"/>
          <w:color w:val="000000"/>
          <w:sz w:val="20"/>
          <w:szCs w:val="20"/>
          <w:lang w:eastAsia="it-IT"/>
        </w:rPr>
        <w:endnoteReference w:id="53"/>
      </w:r>
      <w:r w:rsidRPr="00CD7FBE">
        <w:rPr>
          <w:rFonts w:ascii="Times New Roman" w:hAnsi="Times New Roman"/>
          <w:color w:val="000000"/>
          <w:sz w:val="20"/>
          <w:szCs w:val="20"/>
          <w:lang w:eastAsia="it-IT"/>
        </w:rPr>
        <w:t xml:space="preserve">). </w:t>
      </w:r>
    </w:p>
    <w:p w14:paraId="30C5EEBC"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7D784AD3" w14:textId="4C85DA6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Con l’approvazione del MOG, con particolare riferimento alla parte speciale, contenente l’</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llegato n. 2 Codice Etico, Codice di Comportamento, Codice </w:t>
      </w:r>
      <w:r w:rsidRPr="0057039B">
        <w:rPr>
          <w:rFonts w:ascii="Times New Roman" w:hAnsi="Times New Roman"/>
          <w:color w:val="000000"/>
          <w:sz w:val="20"/>
          <w:szCs w:val="20"/>
          <w:lang w:eastAsia="it-IT"/>
        </w:rPr>
        <w:t xml:space="preserve">Sanzionatorio e </w:t>
      </w:r>
      <w:r w:rsidRPr="0057039B">
        <w:rPr>
          <w:rFonts w:ascii="Times New Roman" w:hAnsi="Times New Roman"/>
          <w:b/>
          <w:color w:val="000000"/>
          <w:sz w:val="20"/>
          <w:szCs w:val="20"/>
          <w:lang w:eastAsia="it-IT"/>
        </w:rPr>
        <w:t>l’</w:t>
      </w:r>
      <w:r w:rsidR="0059605D" w:rsidRPr="0057039B">
        <w:rPr>
          <w:rFonts w:ascii="Times New Roman" w:hAnsi="Times New Roman"/>
          <w:b/>
          <w:color w:val="000000"/>
          <w:sz w:val="20"/>
          <w:szCs w:val="20"/>
          <w:lang w:eastAsia="it-IT"/>
        </w:rPr>
        <w:t>A</w:t>
      </w:r>
      <w:r w:rsidRPr="0057039B">
        <w:rPr>
          <w:rFonts w:ascii="Times New Roman" w:hAnsi="Times New Roman"/>
          <w:b/>
          <w:color w:val="000000"/>
          <w:sz w:val="20"/>
          <w:szCs w:val="20"/>
          <w:lang w:eastAsia="it-IT"/>
        </w:rPr>
        <w:t>llegato n. 3</w:t>
      </w:r>
      <w:r w:rsidRPr="0057039B">
        <w:rPr>
          <w:rFonts w:ascii="Times New Roman" w:hAnsi="Times New Roman"/>
          <w:color w:val="000000"/>
          <w:sz w:val="20"/>
          <w:szCs w:val="20"/>
          <w:lang w:eastAsia="it-IT"/>
        </w:rPr>
        <w:t xml:space="preserve"> Testo Unico Regolamenti e Procedure, è stato introdotto l’obbligo, al momento dell’assunzione o del conferimento dell’incarico/nomina di Commissioni, del rilascio da parte dei dipendenti compresi i </w:t>
      </w:r>
      <w:r w:rsidR="0059605D" w:rsidRPr="0057039B">
        <w:rPr>
          <w:rFonts w:ascii="Times New Roman" w:hAnsi="Times New Roman"/>
          <w:color w:val="000000"/>
          <w:sz w:val="20"/>
          <w:szCs w:val="20"/>
          <w:lang w:eastAsia="it-IT"/>
        </w:rPr>
        <w:t>Responsabili</w:t>
      </w:r>
      <w:r w:rsidRPr="0057039B">
        <w:rPr>
          <w:rFonts w:ascii="Times New Roman" w:hAnsi="Times New Roman"/>
          <w:color w:val="000000"/>
          <w:sz w:val="20"/>
          <w:szCs w:val="20"/>
          <w:lang w:eastAsia="it-IT"/>
        </w:rPr>
        <w:t>, della dichiarazione di assenza di conflitti di interesse</w:t>
      </w:r>
      <w:r w:rsidRPr="00CD7FBE">
        <w:rPr>
          <w:rFonts w:ascii="Times New Roman" w:hAnsi="Times New Roman"/>
          <w:color w:val="000000"/>
          <w:sz w:val="20"/>
          <w:szCs w:val="20"/>
          <w:lang w:eastAsia="it-IT"/>
        </w:rPr>
        <w:t xml:space="preserve"> e di sentenze di condanna per delitti contro la Pubblica Amministrazione (capo I, titolo II, libro secondo del codice penale), di insussistenza delle cause di inconferibilità e/o incompatibilità ai sensi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8 aprile 2013, n. 39 e ricognitiva degli incarichi in essere a carico della finanza pubblica/regionale ex art. 3, comma 2 D.P.C.M. 23 marzo 2012</w:t>
      </w:r>
      <w:r w:rsidRPr="00CD7FBE">
        <w:rPr>
          <w:rStyle w:val="Rimandonotadichiusura"/>
          <w:rFonts w:ascii="Times New Roman" w:hAnsi="Times New Roman"/>
          <w:color w:val="000000"/>
          <w:sz w:val="20"/>
          <w:szCs w:val="20"/>
          <w:lang w:eastAsia="it-IT"/>
        </w:rPr>
        <w:endnoteReference w:id="54"/>
      </w:r>
      <w:r w:rsidRPr="00CD7FBE">
        <w:rPr>
          <w:rFonts w:ascii="Times New Roman" w:hAnsi="Times New Roman"/>
          <w:color w:val="000000"/>
          <w:sz w:val="20"/>
          <w:szCs w:val="20"/>
          <w:lang w:eastAsia="it-IT"/>
        </w:rPr>
        <w:t xml:space="preserve">. Ciò consente una maggiore efficace regolazione/controllo/monitoraggio dei casi di conflitto di interesse come previsto dalla L. 190/2012,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xml:space="preserve">. 39/2013 e l’introduzione della previsione dell’obbligo di astensione nei casi di conflitto ex art. 6 bis, della L. 241/1990 e D.P.R. 62/2013. Su istanza o dell’OdV o del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l’</w:t>
      </w:r>
      <w:r w:rsidRPr="00CD7FBE">
        <w:rPr>
          <w:rFonts w:ascii="Times New Roman" w:hAnsi="Times New Roman"/>
          <w:i/>
          <w:color w:val="000000"/>
          <w:sz w:val="20"/>
          <w:szCs w:val="20"/>
          <w:lang w:eastAsia="it-IT"/>
        </w:rPr>
        <w:t xml:space="preserve">Internal Audit </w:t>
      </w:r>
      <w:r w:rsidRPr="00CD7FBE">
        <w:rPr>
          <w:rFonts w:ascii="Times New Roman" w:hAnsi="Times New Roman"/>
          <w:color w:val="000000"/>
          <w:sz w:val="20"/>
          <w:szCs w:val="20"/>
          <w:lang w:eastAsia="it-IT"/>
        </w:rPr>
        <w:t xml:space="preserve">procederà alla verifica della veridicità delle dichiarazioni di cui sopra. </w:t>
      </w:r>
    </w:p>
    <w:p w14:paraId="0ADB7B77"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211C2C9E" w14:textId="60CD4A5D" w:rsidR="00603F3F" w:rsidRPr="00FB1545" w:rsidRDefault="00603F3F" w:rsidP="003E3269">
      <w:pPr>
        <w:pStyle w:val="Titolo3"/>
        <w:keepNext w:val="0"/>
        <w:widowControl w:val="0"/>
        <w:numPr>
          <w:ilvl w:val="1"/>
          <w:numId w:val="31"/>
        </w:numPr>
        <w:spacing w:line="276" w:lineRule="auto"/>
        <w:ind w:left="567" w:hanging="567"/>
        <w:contextualSpacing w:val="0"/>
      </w:pPr>
      <w:bookmarkStart w:id="635" w:name="_Toc473547417"/>
      <w:bookmarkStart w:id="636" w:name="_Toc535854453"/>
      <w:r w:rsidRPr="00FB1545">
        <w:t xml:space="preserve">Il conferimento di incarichi </w:t>
      </w:r>
      <w:r w:rsidR="0059605D">
        <w:rPr>
          <w:lang w:val="it-IT"/>
        </w:rPr>
        <w:t>Responsabile</w:t>
      </w:r>
      <w:r w:rsidRPr="00FB1545">
        <w:t>: inconferibilità e incompatibilità</w:t>
      </w:r>
      <w:bookmarkEnd w:id="635"/>
      <w:bookmarkEnd w:id="636"/>
      <w:r w:rsidRPr="00FB1545">
        <w:t xml:space="preserve"> </w:t>
      </w:r>
    </w:p>
    <w:p w14:paraId="05505C21" w14:textId="0EEBDCAF"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La vigilanza sul rispetto delle disposizioni in materia di inconferibilità e incompatibilità è demandata</w:t>
      </w:r>
      <w:r w:rsidRPr="00682919">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ai sensi dell’art. 15, comma 1,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39/2013</w:t>
      </w:r>
      <w:r w:rsidRPr="00CD7FBE">
        <w:rPr>
          <w:rStyle w:val="Rimandonotadichiusura"/>
          <w:rFonts w:ascii="Times New Roman" w:hAnsi="Times New Roman"/>
          <w:color w:val="000000"/>
          <w:sz w:val="20"/>
          <w:szCs w:val="20"/>
          <w:lang w:eastAsia="it-IT"/>
        </w:rPr>
        <w:endnoteReference w:id="55"/>
      </w:r>
      <w:r>
        <w:rPr>
          <w:rFonts w:ascii="Times New Roman" w:hAnsi="Times New Roman"/>
          <w:color w:val="000000"/>
          <w:sz w:val="20"/>
          <w:szCs w:val="20"/>
          <w:lang w:eastAsia="it-IT"/>
        </w:rPr>
        <w:t>, il quale,</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per tale scopo</w:t>
      </w:r>
      <w:r w:rsidRPr="00CD7FBE">
        <w:rPr>
          <w:rFonts w:ascii="Times New Roman" w:hAnsi="Times New Roman"/>
          <w:color w:val="000000"/>
          <w:sz w:val="20"/>
          <w:szCs w:val="20"/>
          <w:lang w:eastAsia="it-IT"/>
        </w:rPr>
        <w:t xml:space="preserve">, si avvale del supporto operativo </w:t>
      </w:r>
      <w:r w:rsidRPr="00CD7FBE">
        <w:rPr>
          <w:rFonts w:ascii="Times New Roman" w:hAnsi="Times New Roman"/>
          <w:i/>
          <w:color w:val="000000"/>
          <w:sz w:val="20"/>
          <w:szCs w:val="20"/>
          <w:lang w:eastAsia="it-IT"/>
        </w:rPr>
        <w:t>dell’Inte</w:t>
      </w:r>
      <w:r>
        <w:rPr>
          <w:rFonts w:ascii="Times New Roman" w:hAnsi="Times New Roman"/>
          <w:i/>
          <w:color w:val="000000"/>
          <w:sz w:val="20"/>
          <w:szCs w:val="20"/>
          <w:lang w:eastAsia="it-IT"/>
        </w:rPr>
        <w:t>r</w:t>
      </w:r>
      <w:r w:rsidRPr="00CD7FBE">
        <w:rPr>
          <w:rFonts w:ascii="Times New Roman" w:hAnsi="Times New Roman"/>
          <w:i/>
          <w:color w:val="000000"/>
          <w:sz w:val="20"/>
          <w:szCs w:val="20"/>
          <w:lang w:eastAsia="it-IT"/>
        </w:rPr>
        <w:t>nal Audit</w:t>
      </w:r>
      <w:r w:rsidRPr="00CD7FBE">
        <w:rPr>
          <w:rFonts w:ascii="Times New Roman" w:hAnsi="Times New Roman"/>
          <w:color w:val="000000"/>
          <w:sz w:val="20"/>
          <w:szCs w:val="20"/>
          <w:lang w:eastAsia="it-IT"/>
        </w:rPr>
        <w:t>.</w:t>
      </w:r>
      <w:r>
        <w:rPr>
          <w:rFonts w:ascii="Times New Roman" w:hAnsi="Times New Roman"/>
          <w:color w:val="000000"/>
          <w:sz w:val="20"/>
          <w:szCs w:val="20"/>
          <w:lang w:eastAsia="it-IT"/>
        </w:rPr>
        <w:t xml:space="preserve"> L</w:t>
      </w:r>
      <w:r w:rsidRPr="00CD7FBE">
        <w:rPr>
          <w:rFonts w:ascii="Times New Roman" w:hAnsi="Times New Roman"/>
          <w:color w:val="000000"/>
          <w:sz w:val="20"/>
          <w:szCs w:val="20"/>
          <w:lang w:eastAsia="it-IT"/>
        </w:rPr>
        <w:t>’attività di vigilanza</w:t>
      </w:r>
      <w:r>
        <w:rPr>
          <w:rFonts w:ascii="Times New Roman" w:hAnsi="Times New Roman"/>
          <w:color w:val="000000"/>
          <w:sz w:val="20"/>
          <w:szCs w:val="20"/>
          <w:lang w:eastAsia="it-IT"/>
        </w:rPr>
        <w:t xml:space="preserve"> è </w:t>
      </w:r>
      <w:r w:rsidRPr="00CD7FBE">
        <w:rPr>
          <w:rFonts w:ascii="Times New Roman" w:hAnsi="Times New Roman"/>
          <w:color w:val="000000"/>
          <w:sz w:val="20"/>
          <w:szCs w:val="20"/>
          <w:lang w:eastAsia="it-IT"/>
        </w:rPr>
        <w:t>condotta</w:t>
      </w:r>
      <w:r>
        <w:rPr>
          <w:rFonts w:ascii="Times New Roman" w:hAnsi="Times New Roman"/>
          <w:color w:val="000000"/>
          <w:sz w:val="20"/>
          <w:szCs w:val="20"/>
          <w:lang w:eastAsia="it-IT"/>
        </w:rPr>
        <w:t>, anche,</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 xml:space="preserve">in occasione delle verifiche semestrali di cui successivo paragrafo 9. </w:t>
      </w:r>
      <w:r w:rsidRPr="00CD7FBE">
        <w:rPr>
          <w:rFonts w:ascii="Times New Roman" w:hAnsi="Times New Roman"/>
          <w:color w:val="000000"/>
          <w:sz w:val="20"/>
          <w:szCs w:val="20"/>
          <w:lang w:eastAsia="it-IT"/>
        </w:rPr>
        <w:t xml:space="preserve">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spetta, inoltre, contestare situazioni di inconferibilità e incompatibilità nonché procedere alla relativa segnalazione all’A.N.AC.</w:t>
      </w:r>
    </w:p>
    <w:p w14:paraId="76EB19DB"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5EB7BDD8" w14:textId="639A618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vengono tempestivamente trasmessi, per conoscenza, dagli uffici competenti, tutti i provvedimenti di conferimento di incarichi dirigenziali e non, comunque denominati, con la contestuale trasmissione delle relative dichiarazioni presentate dagli interessati sulla insussistenza di una delle cause di inconferibilità, di cui all’art. 20, comma 1,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39/2013</w:t>
      </w:r>
      <w:r w:rsidRPr="00CD7FBE">
        <w:rPr>
          <w:rStyle w:val="Rimandonotadichiusura"/>
          <w:rFonts w:ascii="Times New Roman" w:hAnsi="Times New Roman"/>
          <w:color w:val="000000"/>
          <w:sz w:val="20"/>
          <w:szCs w:val="20"/>
          <w:lang w:eastAsia="it-IT"/>
        </w:rPr>
        <w:endnoteReference w:id="56"/>
      </w:r>
      <w:r w:rsidRPr="00CD7FBE">
        <w:rPr>
          <w:rFonts w:ascii="Times New Roman" w:hAnsi="Times New Roman"/>
          <w:color w:val="000000"/>
          <w:sz w:val="20"/>
          <w:szCs w:val="20"/>
          <w:lang w:eastAsia="it-IT"/>
        </w:rPr>
        <w:t>, allo stesso, inoltre, vengono tempestivamente trasmesse le medesime dichiarazioni rese annualmente. Le dichiaraz</w:t>
      </w:r>
      <w:r>
        <w:rPr>
          <w:rFonts w:ascii="Times New Roman" w:hAnsi="Times New Roman"/>
          <w:color w:val="000000"/>
          <w:sz w:val="20"/>
          <w:szCs w:val="20"/>
          <w:lang w:eastAsia="it-IT"/>
        </w:rPr>
        <w:t>ioni rese dagli interessati ex D</w:t>
      </w:r>
      <w:r w:rsidRPr="00CD7FBE">
        <w:rPr>
          <w:rFonts w:ascii="Times New Roman" w:hAnsi="Times New Roman"/>
          <w:color w:val="000000"/>
          <w:sz w:val="20"/>
          <w:szCs w:val="20"/>
          <w:lang w:eastAsia="it-IT"/>
        </w:rPr>
        <w:t xml:space="preserve">.P.R. 445/2000 dovranno essere acquisite dalla struttura competente in ordine al procedimento di nomina o di affidamento di incarico, la quale provvederà, nella fase istruttoria, alla verifica della completezza ed al controllo delle dichiarazioni ricevute e, una volta effettuati i dovuti riscontri, a trasmetterle, unitamente ad una dichiarazione di regolarità della procedura che contenga anche l’esito delle verifiche effettuate,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di modo che possa esercitare le funzioni di vigilanza che gli competono.</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Il provvedimento di nomina o quello di conferimento dell’incarico dovrà dare puntuale indicazione, nelle premesse del provvedimento, dell’attività di verifica</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svolta</w:t>
      </w:r>
      <w:r>
        <w:rPr>
          <w:rFonts w:ascii="Times New Roman" w:hAnsi="Times New Roman"/>
          <w:color w:val="000000"/>
          <w:sz w:val="20"/>
          <w:szCs w:val="20"/>
          <w:lang w:eastAsia="it-IT"/>
        </w:rPr>
        <w:t>,</w:t>
      </w:r>
      <w:r w:rsidRPr="00CD7FBE">
        <w:rPr>
          <w:rFonts w:ascii="Times New Roman" w:hAnsi="Times New Roman"/>
          <w:color w:val="000000"/>
          <w:sz w:val="20"/>
          <w:szCs w:val="20"/>
          <w:lang w:eastAsia="it-IT"/>
        </w:rPr>
        <w:t xml:space="preserve"> dalla suddetta struttura competente per il procedimento</w:t>
      </w:r>
      <w:r>
        <w:rPr>
          <w:rFonts w:ascii="Times New Roman" w:hAnsi="Times New Roman"/>
          <w:color w:val="000000"/>
          <w:sz w:val="20"/>
          <w:szCs w:val="20"/>
          <w:lang w:eastAsia="it-IT"/>
        </w:rPr>
        <w:t xml:space="preserve">, delle possibili cause di </w:t>
      </w:r>
      <w:r w:rsidRPr="00CD7FBE">
        <w:rPr>
          <w:rFonts w:ascii="Times New Roman" w:hAnsi="Times New Roman"/>
          <w:color w:val="000000"/>
          <w:sz w:val="20"/>
          <w:szCs w:val="20"/>
          <w:lang w:eastAsia="it-IT"/>
        </w:rPr>
        <w:t xml:space="preserve">inconferibilità e incompatibilità.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ha il compito di contestare all’interessato l’esistenza o l’insorgere delle situazioni di inconferibilità o incompatibilità di cui venga a conoscenza, nonché quello di segnalare </w:t>
      </w:r>
      <w:r w:rsidR="0059605D">
        <w:rPr>
          <w:rFonts w:ascii="Times New Roman" w:hAnsi="Times New Roman"/>
          <w:color w:val="000000"/>
          <w:sz w:val="20"/>
          <w:szCs w:val="20"/>
          <w:lang w:eastAsia="it-IT"/>
        </w:rPr>
        <w:t>all’Amministratore Unico</w:t>
      </w:r>
      <w:r w:rsidRPr="00CD7FBE">
        <w:rPr>
          <w:rFonts w:ascii="Times New Roman" w:hAnsi="Times New Roman"/>
          <w:color w:val="000000"/>
          <w:sz w:val="20"/>
          <w:szCs w:val="20"/>
          <w:lang w:eastAsia="it-IT"/>
        </w:rPr>
        <w:t xml:space="preserve"> ovvero, qualora lo stesso risulti coinvolto, all’Assemblea dei Soci, i casi di possibile violazione delle disposizioni in materia ai fini dell’adozione dei provvedimenti del caso.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anche per il tramite dell’</w:t>
      </w:r>
      <w:r w:rsidRPr="00CD7FBE">
        <w:rPr>
          <w:rFonts w:ascii="Times New Roman" w:hAnsi="Times New Roman"/>
          <w:i/>
          <w:color w:val="000000"/>
          <w:sz w:val="20"/>
          <w:szCs w:val="20"/>
          <w:lang w:eastAsia="it-IT"/>
        </w:rPr>
        <w:t>Internal Audit</w:t>
      </w:r>
      <w:r w:rsidRPr="00CD7FBE">
        <w:rPr>
          <w:rFonts w:ascii="Times New Roman" w:hAnsi="Times New Roman"/>
          <w:color w:val="000000"/>
          <w:sz w:val="20"/>
          <w:szCs w:val="20"/>
          <w:lang w:eastAsia="it-IT"/>
        </w:rPr>
        <w:t xml:space="preserve">, può chiedere agli uffici competenti ogni notizia o informazione o documentazione utile ad accertare l’effettiva sussistenza di eventuali casi di inconferibilità o di incompatibilità previsti dal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39/2013, di cui sia venuto, in qualsiasi modo, a conoscenza.</w:t>
      </w:r>
    </w:p>
    <w:p w14:paraId="49FAF35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3B572634"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color w:val="000000"/>
          <w:sz w:val="20"/>
          <w:szCs w:val="20"/>
          <w:lang w:eastAsia="it-IT"/>
        </w:rPr>
        <w:t xml:space="preserve">Nell’attività di accertamento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tiene conto di quanto rappresentato dall’A.N.AC. nelle «</w:t>
      </w:r>
      <w:r w:rsidRPr="00CD7FBE">
        <w:rPr>
          <w:rFonts w:ascii="Times New Roman" w:hAnsi="Times New Roman"/>
          <w:i/>
          <w:color w:val="000000"/>
          <w:sz w:val="20"/>
          <w:szCs w:val="20"/>
          <w:lang w:eastAsia="it-IT"/>
        </w:rPr>
        <w:t>Linee guida aventi ad oggetto il procedimento di accertamento delle inconferibilità e delle incompatibilità degli incarichi amministrativi da parte del responsabile della prevenzione della corruzione. Attività di vigilanza e poteri di accertamento dell’A.N.AC. in caso di incarichi inconferibili e incompatibili</w:t>
      </w:r>
      <w:r w:rsidRPr="00CD7FBE">
        <w:rPr>
          <w:rFonts w:ascii="Times New Roman" w:hAnsi="Times New Roman"/>
          <w:color w:val="000000"/>
          <w:sz w:val="20"/>
          <w:szCs w:val="20"/>
          <w:lang w:eastAsia="it-IT"/>
        </w:rPr>
        <w:t>.» con le quali mette in evidenza che “</w:t>
      </w:r>
      <w:r w:rsidRPr="00CD7FBE">
        <w:rPr>
          <w:rFonts w:ascii="Times New Roman" w:hAnsi="Times New Roman"/>
          <w:i/>
          <w:sz w:val="20"/>
          <w:szCs w:val="20"/>
        </w:rPr>
        <w:t>deve tenersi conto dell’art. 20 del decreto 39/2013, che impone a colui al quale l’incarico è conferito, di rilasciare, all’atto della nomina, una dichiarazione sulla insussistenza di una delle cause di inconferibilità o incompatibilità individuate dallo stesso decreto. Ed è proprio su tale dichiarazione che si concentra l’indagine del RPC nell’ambito del procedimento sanzionatorio avviato nei confronti dei componenti l’organo conferente l’incarico, tenuto conto che, pur costituendo un momento di responsabilizzazione del suo autore, tale dichiarazione non vale ad esonerare, chi ha conferito l’incarico, dal dovere di accertare, nel rispetto dei principi di buon andamento e di imparzialità di cui al citato art. 97 Cost. i requisiti necessari alla nomina, ovvero, per quanto qui rileva, l’assenza di cause di inconferibilità e di incompatibilità in capo al soggetto che si vuole nominare. In altre parole, l’amministrazione conferente è tenuta ad usare la massima cautela e diligenza nella valutazione della dichiarazione richiesta all’art.20, in quanto non è escluso che questa sia mendace, e ciò anche a prescindere dalla consapevolezza del suo autore circa la sussistenza di una delle cause di inconferibilità o di incompatibilità. Il dichiarante, cioè, può anche essere assolutamente convinto della insussistenza di una delle suddette cause e rilasciare ugualmente, in totale buona fede, la dichiarazione richiesta.</w:t>
      </w:r>
    </w:p>
    <w:p w14:paraId="1961768E"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Ora, però, con riferimento all’indagine sull’elemento psicologico, sono sufficientemente evidenti le difficoltà che il RPC può incontrare nell’accertamento del dolo o della colpa lieve in capo all’organo che ha conferito l’incarico, il quale, come chiarito nella delibera n. 67 del 2015, non deve attenersi a quanto dichiarato dal soggetto incaricato, ma deve verificare, con la massima cautela, se, in base agli atti conosciuti o conoscibili, l’autore del provvedimento di nomina avrebbe potuto – anche con un accertamento delegato agli uffici e/o con una richiesta di chiarimenti al nominando – conoscere la causa di inconferibilità/incompatibilità.</w:t>
      </w:r>
    </w:p>
    <w:p w14:paraId="4B0DDB02"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 xml:space="preserve">Fatte tali necessarie premesse, vale ora considerare i diversi ordini di conseguenze che, nel rispetto del quadro normativo di riferimento, si producono in caso di dichiarazioni mendaci. Anzitutto, dalla dichiarazione mendace deriva una responsabilità penale in capo al suo autore, essendo questa resa ai sensi dell’art. 76 del D.P.R. n. 445/2000; secondariamente, tenuto conto che detta dichiarazione viene resa anche ai sensi dell’art. 20 del </w:t>
      </w:r>
      <w:r>
        <w:rPr>
          <w:rFonts w:ascii="Times New Roman" w:hAnsi="Times New Roman"/>
          <w:i/>
          <w:sz w:val="20"/>
          <w:szCs w:val="20"/>
        </w:rPr>
        <w:t>D. Lgs</w:t>
      </w:r>
      <w:r w:rsidRPr="00CD7FBE">
        <w:rPr>
          <w:rFonts w:ascii="Times New Roman" w:hAnsi="Times New Roman"/>
          <w:i/>
          <w:sz w:val="20"/>
          <w:szCs w:val="20"/>
        </w:rPr>
        <w:t>. 39/2013, è proprio il comma 5, di detta disposizione a prevedere l’impossibilità, per il suo autore, di ricoprire, per un periodo pari a cinque anni, alcuno degli incarichi previsti dal decreto.</w:t>
      </w:r>
    </w:p>
    <w:p w14:paraId="6D97C91F"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Tuttavia, proprio in considerazione della buona fede che può caratterizzare l’autore della dichiarazione, è opportuno considerare un passaggio che la legge non contempla, ma che potrebbe chiarire non solo la condotta da esigere dall’autore della dichiarazione, ma anche l’ambito oggettivo della verifica richiesta all’organo conferente l’incarico. Si ritiene, pertanto, necessario indicare alle amministrazioni di accettare solo dichiarazioni che contengano l’elencazione di tutti gli incarichi ricoperti dal soggetto che si vuole nominare, nonché delle eventuali condanne da questo subite per i reati commessi contro la pubblica Amministrazione.</w:t>
      </w:r>
    </w:p>
    <w:p w14:paraId="730B8B97"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A quel punto sarà onere dell’amministrazione conferente, sulla base della fedele elencazione degli incarichi ricoperti, effettuare le necessarie verifiche circa la sussistenza di una causa di inconferibilità o di incompatibilità. In questo modo risulterà meno complicato accertare l’elemento psicologico del dolo o della colpa lieve in capo all’organo conferente, chiamato ad accertare se, in base agli incarichi riportati nell’elenco prodotto, quello che si vuole affidare sia o meno inconferibile o sia con quelli incompatibile.</w:t>
      </w:r>
    </w:p>
    <w:p w14:paraId="1CF71E43"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Ne consegue che anche il compito del RPC nell’ambito del procedimento sanzionatorio sarà più agevole, potendosi, ad esempio, concludere per la responsabilità dell’organo conferente ogni volta che l’incarico dichiarato nullo sia stato conferito nonostante dalla elencazione prodotta fossero emersi elementi che, adeguatamente accertati, evidenziavano cause di inconferibilità o di incompatibilità.</w:t>
      </w:r>
    </w:p>
    <w:p w14:paraId="4F50B44D"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Inoltre, l’inclusione nel suddetto elenco anche di incarichi che rendono inconferibile quello che si vuole affidare, escluderebbe in modo evidente la mala fede dell’autore della dichiarazione. Con riferimento, però, a tale ultimo profilo, vale evidenziare che l’elemento psicologico del dichiarante non è preso in considerazione dal legislatore, il quale, come sopra chiarito, collega alla dichiarazione mendace, accertata dalla stessa amministrazione nel rispetto del diritto di difesa e del contraddittorio dell’interessato, l’inconferibilità di qualsivoglia incarico tra quelli previsti dal decreto, per il periodo di cinque anni.</w:t>
      </w:r>
    </w:p>
    <w:p w14:paraId="6621BE25" w14:textId="77777777" w:rsidR="00603F3F" w:rsidRPr="00CD7FBE" w:rsidRDefault="00603F3F" w:rsidP="00603F3F">
      <w:pPr>
        <w:widowControl w:val="0"/>
        <w:autoSpaceDE w:val="0"/>
        <w:autoSpaceDN w:val="0"/>
        <w:adjustRightInd w:val="0"/>
        <w:spacing w:after="0"/>
        <w:jc w:val="both"/>
        <w:rPr>
          <w:rFonts w:ascii="Times New Roman" w:hAnsi="Times New Roman"/>
          <w:i/>
          <w:sz w:val="20"/>
          <w:szCs w:val="20"/>
        </w:rPr>
      </w:pPr>
      <w:r w:rsidRPr="00CD7FBE">
        <w:rPr>
          <w:rFonts w:ascii="Times New Roman" w:hAnsi="Times New Roman"/>
          <w:i/>
          <w:sz w:val="20"/>
          <w:szCs w:val="20"/>
        </w:rPr>
        <w:t>Il comma 4, dell’art. 20 stabilisce, poi, che la dichiarazione sulla insussistenza di una delle cause di inconferibilità costituisce condizione di efficacia dell’incarico. Poiché da quanto appena detto la sola dichiarazione non è sufficiente, ma occorre la segnalata opera di verifica, la norma deve essere interpretata nel senso che è condizione di efficacia non solo la presentazione ma anche la verifica da parte dell’amministrazione conferente della veridicità della dichiarazione medesima.”</w:t>
      </w:r>
    </w:p>
    <w:p w14:paraId="378878EB"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993A34B" w14:textId="407EFDE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w:t>
      </w:r>
      <w:r w:rsidRPr="00CD7FBE">
        <w:rPr>
          <w:rFonts w:ascii="Times New Roman" w:hAnsi="Times New Roman"/>
          <w:color w:val="000000"/>
          <w:sz w:val="20"/>
          <w:szCs w:val="20"/>
          <w:lang w:eastAsia="it-IT"/>
        </w:rPr>
        <w:t xml:space="preserve">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adott</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 misure organizzative </w:t>
      </w:r>
      <w:r>
        <w:rPr>
          <w:rFonts w:ascii="Times New Roman" w:hAnsi="Times New Roman"/>
          <w:color w:val="000000"/>
          <w:sz w:val="20"/>
          <w:szCs w:val="20"/>
          <w:lang w:eastAsia="it-IT"/>
        </w:rPr>
        <w:t xml:space="preserve">che </w:t>
      </w:r>
      <w:r w:rsidRPr="00CD7FBE">
        <w:rPr>
          <w:rFonts w:ascii="Times New Roman" w:hAnsi="Times New Roman"/>
          <w:color w:val="000000"/>
          <w:sz w:val="20"/>
          <w:szCs w:val="20"/>
          <w:lang w:eastAsia="it-IT"/>
        </w:rPr>
        <w:t>assicura</w:t>
      </w:r>
      <w:r>
        <w:rPr>
          <w:rFonts w:ascii="Times New Roman" w:hAnsi="Times New Roman"/>
          <w:color w:val="000000"/>
          <w:sz w:val="20"/>
          <w:szCs w:val="20"/>
          <w:lang w:eastAsia="it-IT"/>
        </w:rPr>
        <w:t>no</w:t>
      </w:r>
      <w:r w:rsidRPr="00CD7FBE">
        <w:rPr>
          <w:rFonts w:ascii="Times New Roman" w:hAnsi="Times New Roman"/>
          <w:color w:val="000000"/>
          <w:sz w:val="20"/>
          <w:szCs w:val="20"/>
          <w:lang w:eastAsia="it-IT"/>
        </w:rPr>
        <w:t xml:space="preserve"> che:</w:t>
      </w:r>
    </w:p>
    <w:p w14:paraId="7FEC3881" w14:textId="77777777"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1.</w:t>
      </w:r>
      <w:r w:rsidRPr="00CD7FBE">
        <w:rPr>
          <w:rFonts w:ascii="Times New Roman" w:hAnsi="Times New Roman"/>
          <w:color w:val="000000"/>
          <w:sz w:val="20"/>
          <w:szCs w:val="20"/>
          <w:lang w:eastAsia="it-IT"/>
        </w:rPr>
        <w:tab/>
      </w:r>
      <w:r w:rsidRPr="00412CF3">
        <w:rPr>
          <w:rFonts w:ascii="Times New Roman" w:hAnsi="Times New Roman"/>
          <w:i/>
          <w:color w:val="000000"/>
          <w:sz w:val="20"/>
          <w:szCs w:val="20"/>
          <w:lang w:eastAsia="it-IT"/>
        </w:rPr>
        <w:t>l’atto di attribuzione o negli interpelli l’incarico sono subordinati al rilascio della dichiarazione di insussistenza delle cause di inconferibilità ed incompatibilità dell’interessato, quale condizione per l’acquisizione di efficacia dell’incarico;</w:t>
      </w:r>
    </w:p>
    <w:p w14:paraId="244098E9" w14:textId="77777777"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412CF3">
        <w:rPr>
          <w:rFonts w:ascii="Times New Roman" w:hAnsi="Times New Roman"/>
          <w:i/>
          <w:color w:val="000000"/>
          <w:sz w:val="20"/>
          <w:szCs w:val="20"/>
          <w:lang w:eastAsia="it-IT"/>
        </w:rPr>
        <w:t>2.</w:t>
      </w:r>
      <w:r w:rsidRPr="00412CF3">
        <w:rPr>
          <w:rFonts w:ascii="Times New Roman" w:hAnsi="Times New Roman"/>
          <w:i/>
          <w:color w:val="000000"/>
          <w:sz w:val="20"/>
          <w:szCs w:val="20"/>
          <w:lang w:eastAsia="it-IT"/>
        </w:rPr>
        <w:tab/>
        <w:t>negli atti di attribuzione degli incarichi o negli interpelli siano inserite espressamente le condizioni ostative al conferimento ed alla compatibilità dell’incarico;</w:t>
      </w:r>
    </w:p>
    <w:p w14:paraId="5D36F9C9" w14:textId="580EAF09"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412CF3">
        <w:rPr>
          <w:rFonts w:ascii="Times New Roman" w:hAnsi="Times New Roman"/>
          <w:i/>
          <w:color w:val="000000"/>
          <w:sz w:val="20"/>
          <w:szCs w:val="20"/>
          <w:lang w:eastAsia="it-IT"/>
        </w:rPr>
        <w:t>3.</w:t>
      </w:r>
      <w:r w:rsidRPr="00412CF3">
        <w:rPr>
          <w:rFonts w:ascii="Times New Roman" w:hAnsi="Times New Roman"/>
          <w:i/>
          <w:color w:val="000000"/>
          <w:sz w:val="20"/>
          <w:szCs w:val="20"/>
          <w:lang w:eastAsia="it-IT"/>
        </w:rPr>
        <w:tab/>
        <w:t xml:space="preserve">i soggetti interessati rendano la dichiarazione di insussistenza delle cause di inconferibilità ed incompatibilità all’atto del conferimento dell’incarico, con impegno ad immediata informazione </w:t>
      </w:r>
      <w:r w:rsidR="00CD40D9" w:rsidRPr="00412CF3">
        <w:rPr>
          <w:rFonts w:ascii="Times New Roman" w:hAnsi="Times New Roman"/>
          <w:i/>
          <w:color w:val="000000"/>
          <w:sz w:val="20"/>
          <w:szCs w:val="20"/>
          <w:lang w:eastAsia="it-IT"/>
        </w:rPr>
        <w:t>dell’Amministratore Unico</w:t>
      </w:r>
      <w:r w:rsidRPr="00412CF3">
        <w:rPr>
          <w:rFonts w:ascii="Times New Roman" w:hAnsi="Times New Roman"/>
          <w:i/>
          <w:color w:val="000000"/>
          <w:sz w:val="20"/>
          <w:szCs w:val="20"/>
          <w:lang w:eastAsia="it-IT"/>
        </w:rPr>
        <w:t xml:space="preserve"> della società per il caso di sopraggiungere di cause di inconferibilità e incompatibilità in pendenza dell’incarico;</w:t>
      </w:r>
    </w:p>
    <w:p w14:paraId="21197760" w14:textId="77777777" w:rsidR="00603F3F" w:rsidRPr="00412CF3"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412CF3">
        <w:rPr>
          <w:rFonts w:ascii="Times New Roman" w:hAnsi="Times New Roman"/>
          <w:i/>
          <w:color w:val="000000"/>
          <w:sz w:val="20"/>
          <w:szCs w:val="20"/>
          <w:lang w:eastAsia="it-IT"/>
        </w:rPr>
        <w:t>4.</w:t>
      </w:r>
      <w:r w:rsidRPr="00412CF3">
        <w:rPr>
          <w:rFonts w:ascii="Times New Roman" w:hAnsi="Times New Roman"/>
          <w:i/>
          <w:color w:val="000000"/>
          <w:sz w:val="20"/>
          <w:szCs w:val="20"/>
          <w:lang w:eastAsia="it-IT"/>
        </w:rPr>
        <w:tab/>
        <w:t>sia svolta un’attività di vigilanza su segnalazione di soggetti interni ed esterni, soprattutto al fine di verificare l’esistenza di situazioni di inconferibilità ed incompatibilità.</w:t>
      </w:r>
    </w:p>
    <w:p w14:paraId="6905722B"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58B00AA6" w14:textId="2625D2B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La situazione di inconferibilità non può essere sanata. Le cause di incompatibilità possono essere rimosse in ogni momento mediante la rinuncia dell’interessato ad uno degli incarichi ritenuti incompatibili dalle norme vigenti.</w:t>
      </w:r>
    </w:p>
    <w:p w14:paraId="74955B2B" w14:textId="77777777" w:rsidR="00603F3F" w:rsidRPr="00CD7FBE" w:rsidRDefault="00603F3F" w:rsidP="00603F3F">
      <w:pPr>
        <w:widowControl w:val="0"/>
        <w:autoSpaceDE w:val="0"/>
        <w:autoSpaceDN w:val="0"/>
        <w:adjustRightInd w:val="0"/>
        <w:spacing w:after="0"/>
        <w:jc w:val="both"/>
        <w:rPr>
          <w:rFonts w:ascii="Times New Roman" w:hAnsi="Times New Roman"/>
          <w:color w:val="000000"/>
        </w:rPr>
      </w:pPr>
    </w:p>
    <w:p w14:paraId="20D76ACC"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637" w:name="_Toc454796240"/>
      <w:bookmarkStart w:id="638" w:name="_Toc454796302"/>
      <w:bookmarkStart w:id="639" w:name="_Toc473547418"/>
      <w:bookmarkStart w:id="640" w:name="_Toc535854454"/>
      <w:r w:rsidRPr="00FB1545">
        <w:t>Lo svolgimento di incarichi d’ufficio – attività ed incarichi extra-istituzionali</w:t>
      </w:r>
      <w:bookmarkEnd w:id="637"/>
      <w:bookmarkEnd w:id="638"/>
      <w:bookmarkEnd w:id="639"/>
      <w:bookmarkEnd w:id="640"/>
      <w:r w:rsidRPr="00FB1545">
        <w:t xml:space="preserve"> </w:t>
      </w:r>
    </w:p>
    <w:p w14:paraId="578E70AE" w14:textId="3481D74B"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Il cumulo in capo ad un medesimo dipendente di incarichi conferiti dall</w:t>
      </w:r>
      <w:r>
        <w:rPr>
          <w:rFonts w:ascii="Times New Roman" w:hAnsi="Times New Roman"/>
          <w:color w:val="000000"/>
          <w:sz w:val="20"/>
          <w:szCs w:val="20"/>
          <w:lang w:eastAsia="it-IT"/>
        </w:rPr>
        <w:t>a società</w:t>
      </w:r>
      <w:r w:rsidRPr="00CD7FBE">
        <w:rPr>
          <w:rFonts w:ascii="Times New Roman" w:hAnsi="Times New Roman"/>
          <w:color w:val="000000"/>
          <w:sz w:val="20"/>
          <w:szCs w:val="20"/>
          <w:lang w:eastAsia="it-IT"/>
        </w:rPr>
        <w:t xml:space="preserve"> può comportare il rischio di un’eccessiva concentrazione di potere su un unico centro decisionale. La concentrazione del potere decisionale aumenta il rischio che l’attività amministrativa possa essere indirizzata verso fini privati o impropri determinati dalla volontà del </w:t>
      </w:r>
      <w:r w:rsidR="00F74514">
        <w:rPr>
          <w:rFonts w:ascii="Times New Roman" w:hAnsi="Times New Roman"/>
          <w:color w:val="000000"/>
          <w:sz w:val="20"/>
          <w:szCs w:val="20"/>
          <w:lang w:eastAsia="it-IT"/>
        </w:rPr>
        <w:t>Responsabile</w:t>
      </w:r>
      <w:r w:rsidRPr="00CD7FBE">
        <w:rPr>
          <w:rFonts w:ascii="Times New Roman" w:hAnsi="Times New Roman"/>
          <w:color w:val="000000"/>
          <w:sz w:val="20"/>
          <w:szCs w:val="20"/>
          <w:lang w:eastAsia="it-IT"/>
        </w:rPr>
        <w:t xml:space="preserve"> stesso. Inoltre, lo svolgimento di incarichi, soprattutto se extra-istituzionali, da parte del dipendente può realizzare situazioni di conflitto di interesse che possono compromettere il buon andamento dell’azione amministrativa, ponendosi altresì come sintomo dell’evenienza di fatti corruttivi.</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Per le misure poste in essere su tali attività, si fa rinvio al MOG Parte Speciale – </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llegato 2 “Codice Etico e di Comportamento” </w:t>
      </w:r>
      <w:r w:rsidRPr="00CD7FBE">
        <w:rPr>
          <w:rFonts w:ascii="Times New Roman" w:hAnsi="Times New Roman"/>
          <w:sz w:val="20"/>
          <w:szCs w:val="20"/>
          <w:lang w:eastAsia="it-IT"/>
        </w:rPr>
        <w:t>Sezione Seconda Titolo III</w:t>
      </w:r>
      <w:r w:rsidRPr="00CD7FBE">
        <w:rPr>
          <w:rFonts w:ascii="Times New Roman" w:hAnsi="Times New Roman"/>
          <w:color w:val="000000"/>
          <w:sz w:val="20"/>
          <w:szCs w:val="20"/>
          <w:lang w:eastAsia="it-IT"/>
        </w:rPr>
        <w:t xml:space="preserve"> e </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llegato 3 “T.U. Regolamenti e Procedure”.</w:t>
      </w:r>
    </w:p>
    <w:p w14:paraId="0E85A585" w14:textId="77777777" w:rsidR="00603F3F" w:rsidRPr="00CD7FBE" w:rsidRDefault="00603F3F" w:rsidP="00603F3F">
      <w:pPr>
        <w:widowControl w:val="0"/>
        <w:autoSpaceDE w:val="0"/>
        <w:autoSpaceDN w:val="0"/>
        <w:adjustRightInd w:val="0"/>
        <w:spacing w:after="0"/>
        <w:jc w:val="both"/>
        <w:rPr>
          <w:rFonts w:ascii="Times New Roman" w:hAnsi="Times New Roman"/>
          <w:b/>
          <w:color w:val="000000"/>
          <w:sz w:val="20"/>
          <w:szCs w:val="20"/>
          <w:lang w:eastAsia="it-IT"/>
        </w:rPr>
      </w:pPr>
    </w:p>
    <w:p w14:paraId="7C7732B9"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641" w:name="_Toc454796241"/>
      <w:bookmarkStart w:id="642" w:name="_Toc454796303"/>
      <w:bookmarkStart w:id="643" w:name="_Toc473547419"/>
      <w:bookmarkStart w:id="644" w:name="_Toc535854455"/>
      <w:r w:rsidRPr="00FB1545">
        <w:t>Le attività successive alla cessazione dal servizio</w:t>
      </w:r>
      <w:bookmarkEnd w:id="641"/>
      <w:bookmarkEnd w:id="642"/>
      <w:r w:rsidRPr="00FB1545">
        <w:t xml:space="preserve"> (</w:t>
      </w:r>
      <w:r w:rsidRPr="009848BD">
        <w:rPr>
          <w:i/>
        </w:rPr>
        <w:t>Pantouflage</w:t>
      </w:r>
      <w:r w:rsidRPr="00FB1545">
        <w:t>)</w:t>
      </w:r>
      <w:bookmarkEnd w:id="643"/>
      <w:bookmarkEnd w:id="644"/>
    </w:p>
    <w:p w14:paraId="0714B710" w14:textId="684A8A39"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La Legge n. 190/2012 ha introdotto </w:t>
      </w:r>
      <w:r>
        <w:rPr>
          <w:rFonts w:ascii="Times New Roman" w:hAnsi="Times New Roman"/>
          <w:color w:val="000000"/>
          <w:sz w:val="20"/>
          <w:szCs w:val="20"/>
          <w:lang w:eastAsia="it-IT"/>
        </w:rPr>
        <w:t>il</w:t>
      </w:r>
      <w:r w:rsidRPr="00CD7FBE">
        <w:rPr>
          <w:rFonts w:ascii="Times New Roman" w:hAnsi="Times New Roman"/>
          <w:color w:val="000000"/>
          <w:sz w:val="20"/>
          <w:szCs w:val="20"/>
          <w:lang w:eastAsia="it-IT"/>
        </w:rPr>
        <w:t xml:space="preserve"> comma</w:t>
      </w:r>
      <w:r>
        <w:rPr>
          <w:rFonts w:ascii="Times New Roman" w:hAnsi="Times New Roman"/>
          <w:color w:val="000000"/>
          <w:sz w:val="20"/>
          <w:szCs w:val="20"/>
          <w:lang w:eastAsia="it-IT"/>
        </w:rPr>
        <w:t xml:space="preserve"> 16-</w:t>
      </w:r>
      <w:r w:rsidRPr="009720F3">
        <w:rPr>
          <w:rFonts w:ascii="Times New Roman" w:hAnsi="Times New Roman"/>
          <w:i/>
          <w:color w:val="000000"/>
          <w:sz w:val="20"/>
          <w:szCs w:val="20"/>
          <w:lang w:eastAsia="it-IT"/>
        </w:rPr>
        <w:t>ter</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w:t>
      </w:r>
      <w:r w:rsidRPr="00CD7FBE">
        <w:rPr>
          <w:rFonts w:ascii="Times New Roman" w:hAnsi="Times New Roman"/>
          <w:color w:val="000000"/>
          <w:sz w:val="20"/>
          <w:szCs w:val="20"/>
          <w:lang w:eastAsia="it-IT"/>
        </w:rPr>
        <w:t xml:space="preserve">ll’art. 53 del </w:t>
      </w:r>
      <w:r>
        <w:rPr>
          <w:rFonts w:ascii="Times New Roman" w:hAnsi="Times New Roman"/>
          <w:color w:val="000000"/>
          <w:sz w:val="20"/>
          <w:szCs w:val="20"/>
          <w:lang w:eastAsia="it-IT"/>
        </w:rPr>
        <w:t>D. Lgs</w:t>
      </w:r>
      <w:r w:rsidRPr="00CD7FBE">
        <w:rPr>
          <w:rFonts w:ascii="Times New Roman" w:hAnsi="Times New Roman"/>
          <w:color w:val="000000"/>
          <w:sz w:val="20"/>
          <w:szCs w:val="20"/>
          <w:lang w:eastAsia="it-IT"/>
        </w:rPr>
        <w:t>. n. 165 del 2001</w:t>
      </w:r>
      <w:r w:rsidRPr="00CD7FBE">
        <w:rPr>
          <w:rStyle w:val="Rimandonotadichiusura"/>
          <w:rFonts w:ascii="Times New Roman" w:hAnsi="Times New Roman"/>
          <w:color w:val="000000"/>
          <w:sz w:val="20"/>
          <w:szCs w:val="20"/>
          <w:lang w:eastAsia="it-IT"/>
        </w:rPr>
        <w:endnoteReference w:id="57"/>
      </w:r>
      <w:r w:rsidRPr="00CD7FBE">
        <w:rPr>
          <w:rFonts w:ascii="Times New Roman" w:hAnsi="Times New Roman"/>
          <w:color w:val="000000"/>
          <w:sz w:val="20"/>
          <w:szCs w:val="20"/>
          <w:lang w:eastAsia="it-IT"/>
        </w:rPr>
        <w:t xml:space="preserve"> volto a contenere il rischio di situazioni di corruzione connesse all’impiego del dipendente successivo alla cessazione del rapporto di lavoro. Il rischio valutato dalla norma è che durante il periodo di servizio il dipendente possa artatamente precostituirsi delle situazioni lavorative vantaggiose e così sfruttare a proprio fine la sua posizione e il suo potere all’interno dell</w:t>
      </w:r>
      <w:r>
        <w:rPr>
          <w:rFonts w:ascii="Times New Roman" w:hAnsi="Times New Roman"/>
          <w:color w:val="000000"/>
          <w:sz w:val="20"/>
          <w:szCs w:val="20"/>
          <w:lang w:eastAsia="it-IT"/>
        </w:rPr>
        <w:t xml:space="preserve">a società </w:t>
      </w:r>
      <w:r w:rsidRPr="00CD7FBE">
        <w:rPr>
          <w:rFonts w:ascii="Times New Roman" w:hAnsi="Times New Roman"/>
          <w:color w:val="000000"/>
          <w:sz w:val="20"/>
          <w:szCs w:val="20"/>
          <w:lang w:eastAsia="it-IT"/>
        </w:rPr>
        <w:t>per ottenere un lavoro per lui attraente presso l’impresa o il soggetto privato con cui entra in contatto. La norma prevede quindi una limitazione della libertà negoziale del dipendente per un determinato periodo successivo alla cessazione del rapporto per eliminare la “convenienza” di accordi fraudolenti. La disposizione stabilisce che “</w:t>
      </w:r>
      <w:r w:rsidRPr="00CD7FBE">
        <w:rPr>
          <w:rFonts w:ascii="Times New Roman" w:hAnsi="Times New Roman"/>
          <w:i/>
          <w:color w:val="000000"/>
          <w:sz w:val="20"/>
          <w:szCs w:val="20"/>
          <w:lang w:eastAsia="it-IT"/>
        </w:rPr>
        <w:t>I dipendenti che, negli ultimi tre anni di servizio, hanno esercitato poteri autoritativi o negoziali per conto delle pubbliche amministrazioni di cui all</w:t>
      </w:r>
      <w:r>
        <w:rPr>
          <w:rFonts w:ascii="Times New Roman" w:hAnsi="Times New Roman"/>
          <w:i/>
          <w:color w:val="000000"/>
          <w:sz w:val="20"/>
          <w:szCs w:val="20"/>
          <w:lang w:eastAsia="it-IT"/>
        </w:rPr>
        <w:t>’</w:t>
      </w:r>
      <w:r w:rsidRPr="00CD7FBE">
        <w:rPr>
          <w:rFonts w:ascii="Times New Roman" w:hAnsi="Times New Roman"/>
          <w:i/>
          <w:color w:val="000000"/>
          <w:sz w:val="20"/>
          <w:szCs w:val="20"/>
          <w:lang w:eastAsia="it-IT"/>
        </w:rPr>
        <w:t>articolo 1, comma 2, non possono svolgere, nei tre anni successivi alla cessazione del rapporto di pubblico impiego, attività lavorativa o professionale presso i soggetti privati destinatari dell</w:t>
      </w:r>
      <w:r>
        <w:rPr>
          <w:rFonts w:ascii="Times New Roman" w:hAnsi="Times New Roman"/>
          <w:i/>
          <w:color w:val="000000"/>
          <w:sz w:val="20"/>
          <w:szCs w:val="20"/>
          <w:lang w:eastAsia="it-IT"/>
        </w:rPr>
        <w:t>’</w:t>
      </w:r>
      <w:r w:rsidRPr="00CD7FBE">
        <w:rPr>
          <w:rFonts w:ascii="Times New Roman" w:hAnsi="Times New Roman"/>
          <w:i/>
          <w:color w:val="000000"/>
          <w:sz w:val="20"/>
          <w:szCs w:val="20"/>
          <w:lang w:eastAsia="it-IT"/>
        </w:rPr>
        <w:t>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r w:rsidRPr="00CD7FBE">
        <w:rPr>
          <w:rFonts w:ascii="Times New Roman" w:hAnsi="Times New Roman"/>
          <w:color w:val="000000"/>
          <w:sz w:val="20"/>
          <w:szCs w:val="20"/>
          <w:lang w:eastAsia="it-IT"/>
        </w:rPr>
        <w:t>.”</w:t>
      </w:r>
    </w:p>
    <w:p w14:paraId="736B970A" w14:textId="39B830D6"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6A365A61" w14:textId="649C3C67"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L’A.N.AC. nell’Aggiornamento 2018 al Piano Nazionale Anticorruzione ha fornito dei chiarimenti sulla formulazione del succitato comma 16-</w:t>
      </w:r>
      <w:r w:rsidRPr="009720F3">
        <w:rPr>
          <w:rFonts w:ascii="Times New Roman" w:hAnsi="Times New Roman"/>
          <w:i/>
          <w:color w:val="000000"/>
          <w:sz w:val="20"/>
          <w:szCs w:val="20"/>
          <w:lang w:eastAsia="it-IT"/>
        </w:rPr>
        <w:t>ter</w:t>
      </w:r>
      <w:r>
        <w:rPr>
          <w:rFonts w:ascii="Times New Roman" w:hAnsi="Times New Roman"/>
          <w:color w:val="000000"/>
          <w:sz w:val="20"/>
          <w:szCs w:val="20"/>
          <w:lang w:eastAsia="it-IT"/>
        </w:rPr>
        <w:t xml:space="preserve"> in quanto non appare del tutto chiara e ha dato luogo a dubbi interpretativi sotto diversi profili di seguito elencati.</w:t>
      </w:r>
    </w:p>
    <w:p w14:paraId="123B7244" w14:textId="5C7F6DD3" w:rsidR="00603F3F" w:rsidRDefault="00603F3F" w:rsidP="003E3269">
      <w:pPr>
        <w:pStyle w:val="Paragrafoelenco"/>
        <w:widowControl w:val="0"/>
        <w:numPr>
          <w:ilvl w:val="0"/>
          <w:numId w:val="5"/>
        </w:numPr>
        <w:autoSpaceDE w:val="0"/>
        <w:autoSpaceDN w:val="0"/>
        <w:adjustRightInd w:val="0"/>
        <w:spacing w:after="0" w:line="276" w:lineRule="auto"/>
        <w:ind w:left="284" w:hanging="284"/>
        <w:jc w:val="both"/>
        <w:rPr>
          <w:rFonts w:ascii="Times New Roman" w:hAnsi="Times New Roman"/>
          <w:color w:val="000000"/>
          <w:sz w:val="20"/>
          <w:szCs w:val="20"/>
          <w:lang w:eastAsia="it-IT"/>
        </w:rPr>
      </w:pPr>
      <w:r w:rsidRPr="00A62ADC">
        <w:rPr>
          <w:rFonts w:ascii="Times New Roman" w:hAnsi="Times New Roman"/>
          <w:color w:val="000000"/>
          <w:sz w:val="20"/>
          <w:szCs w:val="20"/>
          <w:lang w:eastAsia="it-IT"/>
        </w:rPr>
        <w:t>A</w:t>
      </w:r>
      <w:r w:rsidRPr="009720F3">
        <w:rPr>
          <w:rFonts w:ascii="Times New Roman" w:hAnsi="Times New Roman"/>
          <w:color w:val="000000"/>
          <w:sz w:val="20"/>
          <w:szCs w:val="20"/>
          <w:lang w:eastAsia="it-IT"/>
        </w:rPr>
        <w:t>mbito di applicazione</w:t>
      </w:r>
    </w:p>
    <w:p w14:paraId="14479D50" w14:textId="49B3CFE5" w:rsidR="00603F3F" w:rsidRPr="00D1263B" w:rsidRDefault="00603F3F" w:rsidP="00603F3F">
      <w:pPr>
        <w:pStyle w:val="Paragrafoelenco"/>
        <w:widowControl w:val="0"/>
        <w:autoSpaceDE w:val="0"/>
        <w:autoSpaceDN w:val="0"/>
        <w:adjustRightInd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 disciplina sul divieto di pantouflage si applica innanzitutto ai dipendenti delle pubbliche amministrazioni, individuate all’art. 1, co. 2, del d.lgs. 165/2001. L’A.N.AC. ha evidenziato che una limitazione ai soli dipendenti con contratto a tempo indeterminato sarebbe in contrasto con la ratio della norma e sono pertanto da ricomprendersi anche i soggetti legati alla pubblica amministrazione da un rapporto di lavoro a tempo determinato o autonomo (cfr. parere ANAC AG/2 del 4 febbraio 2015). L’Autorità evidenzia, inoltre, che il divieto per il dipendente cessato dal servizio di svolgere attività lavorativa o professionale presso i soggetti privati destinatari dei poteri negoziali e autoritativi esercitati è da intendersi riferito a qualsiasi tipo di rapporto di lavoro o professionale che possa instaurarsi con i medesimi soggetti privati, mediante l’assunzione a tempo determinato o indeterminato o l’affidamento di incarico o consulenza da prestare in favore degli stessi.</w:t>
      </w:r>
    </w:p>
    <w:p w14:paraId="3D65907A" w14:textId="4C4FCE4C" w:rsidR="00603F3F" w:rsidRPr="00D1263B" w:rsidRDefault="00603F3F" w:rsidP="00603F3F">
      <w:pPr>
        <w:widowControl w:val="0"/>
        <w:autoSpaceDE w:val="0"/>
        <w:autoSpaceDN w:val="0"/>
        <w:adjustRightInd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Tale linea interpretativa emerge chiaramente dalla disciplina sulle incompatibilità e inconferibilità di incarichi, laddove l’ambito di applicazione del divieto di pantouflage è stato ulteriormente definito. L’art. 21 del d.lgs. 39/2013 ha, infatti, precisato che ai fini dell’applicazione dell’art. 53, co. 16-ter, del d.lgs. 165/2001, sono considerati dipendenti delle pubbliche amministrazioni anche i soggetti titolari di uno degli incarichi considerati nel medesimo decreto, ivi compresi i soggetti esterni con i quali l’amministrazione, l’ente pubblico e l’ente di diritto privato in controllo pubblico stabilisce un rapporto di lavoro, subordinato o autonomo.</w:t>
      </w:r>
    </w:p>
    <w:p w14:paraId="2CAA22E3" w14:textId="65B26EB9" w:rsidR="00603F3F" w:rsidRPr="00D1263B" w:rsidRDefault="00603F3F" w:rsidP="00603F3F">
      <w:pPr>
        <w:widowControl w:val="0"/>
        <w:autoSpaceDE w:val="0"/>
        <w:autoSpaceDN w:val="0"/>
        <w:adjustRightInd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Si è inteso così estendere la sfera dei soggetti assimilabili ai dipendenti pubblici, rafforzando la finalità dell’istituto in argomento quale presidio del rischio corruttivo.</w:t>
      </w:r>
    </w:p>
    <w:p w14:paraId="15E420B9" w14:textId="69C2D130" w:rsidR="00603F3F" w:rsidRPr="00D1263B" w:rsidRDefault="00603F3F" w:rsidP="00603F3F">
      <w:pPr>
        <w:widowControl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Secondo una lettura in senso ampio della norma e coerentemente a quanto specificato all’art. 21 cit., si sottolinea che il divieto di pantouflage è da riferirsi non solo ai dipendenti degli enti pubblici non economici (già ricompresi fra le pubbliche amministrazioni) ma anche ai dipendenti degli enti pubblici economici, atteso che il d.lgs. 39/2013 non fa distinzione fra le due tipologie di enti (come rilevato dal Consiglio di Stato).</w:t>
      </w:r>
    </w:p>
    <w:p w14:paraId="71E01C64" w14:textId="7FD045E4" w:rsidR="00603F3F" w:rsidRDefault="00603F3F" w:rsidP="00603F3F">
      <w:pPr>
        <w:widowControl w:val="0"/>
        <w:spacing w:after="0"/>
        <w:jc w:val="both"/>
        <w:rPr>
          <w:rFonts w:ascii="Times New Roman" w:hAnsi="Times New Roman"/>
          <w:color w:val="000000"/>
          <w:sz w:val="20"/>
          <w:szCs w:val="20"/>
          <w:lang w:eastAsia="it-IT"/>
        </w:rPr>
      </w:pPr>
    </w:p>
    <w:p w14:paraId="1394D8C7" w14:textId="1959C1CC" w:rsidR="00603F3F" w:rsidRDefault="00603F3F" w:rsidP="003E3269">
      <w:pPr>
        <w:pStyle w:val="Paragrafoelenco"/>
        <w:widowControl w:val="0"/>
        <w:numPr>
          <w:ilvl w:val="0"/>
          <w:numId w:val="5"/>
        </w:numPr>
        <w:spacing w:after="0" w:line="276" w:lineRule="auto"/>
        <w:ind w:left="284" w:hanging="284"/>
        <w:jc w:val="both"/>
        <w:rPr>
          <w:rFonts w:ascii="Times New Roman" w:hAnsi="Times New Roman"/>
          <w:color w:val="000000"/>
          <w:sz w:val="20"/>
          <w:szCs w:val="20"/>
          <w:lang w:eastAsia="it-IT"/>
        </w:rPr>
      </w:pPr>
      <w:r w:rsidRPr="00A62ADC">
        <w:rPr>
          <w:rFonts w:ascii="Times New Roman" w:hAnsi="Times New Roman"/>
          <w:color w:val="000000"/>
          <w:sz w:val="20"/>
          <w:szCs w:val="20"/>
          <w:lang w:eastAsia="it-IT"/>
        </w:rPr>
        <w:t>E</w:t>
      </w:r>
      <w:r w:rsidRPr="009720F3">
        <w:rPr>
          <w:rFonts w:ascii="Times New Roman" w:hAnsi="Times New Roman"/>
          <w:color w:val="000000"/>
          <w:sz w:val="20"/>
          <w:szCs w:val="20"/>
          <w:lang w:eastAsia="it-IT"/>
        </w:rPr>
        <w:t xml:space="preserve">sercizio dei </w:t>
      </w:r>
      <w:r w:rsidRPr="00A62ADC">
        <w:rPr>
          <w:rFonts w:ascii="Times New Roman" w:hAnsi="Times New Roman"/>
          <w:color w:val="000000"/>
          <w:sz w:val="20"/>
          <w:szCs w:val="20"/>
          <w:lang w:eastAsia="it-IT"/>
        </w:rPr>
        <w:t>poteri autoritativi e negoziali</w:t>
      </w:r>
    </w:p>
    <w:p w14:paraId="74163668" w14:textId="2B891D67"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l’Autorità ha precisato che rientrano in tale ambito, a titolo esemplificativo, i , i funzionari che svolgono incarichi dirigenziali, ad esempio ai sensi dell’art. 19, co. 6, del d.lgs. 165/2001 o ai sensi dell’art. 110 del d.lgs. 267/2000, coloro che esercitano funzioni apicali o a cui sono conferite apposite deleghe di rappresentanza all’esterno dell’ente (cfr. orientamento ANAC n. 2 del 4 febbraio 2015). Si ritiene inoltre che il rischio di precostituirsi situazioni lavorative favorevoli possa configurarsi anche in capo al dipendente che ha comunque avuto il potere di incidere in maniera determinante sulla decisione oggetto del provvedimento finale, collaborando all’istruttoria, ad esempio attraverso l’elaborazione di atti endoprocedimentali obbligatori (pareri, perizie, certificazioni) che vincolano in modo significativo il contenuto della decisione (cfr. parere ANAC sulla normativa AG 74 del 21 ottobre 2015 e orientamento n. 24/2015).</w:t>
      </w:r>
    </w:p>
    <w:p w14:paraId="2266E89E" w14:textId="1BDDD21E" w:rsidR="00603F3F" w:rsidRPr="00D1263B" w:rsidRDefault="00603F3F" w:rsidP="00603F3F">
      <w:pPr>
        <w:widowControl w:val="0"/>
        <w:spacing w:after="0"/>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Pertanto, il divieto di pantouflage si applica non solo al soggetto che abbia firmato l’atto ma anche a coloro che abbiano partecipato al procedimento.</w:t>
      </w:r>
    </w:p>
    <w:p w14:paraId="27D280B9" w14:textId="58C6797E" w:rsidR="00603F3F" w:rsidRDefault="00603F3F" w:rsidP="003E3269">
      <w:pPr>
        <w:pStyle w:val="Paragrafoelenco"/>
        <w:widowControl w:val="0"/>
        <w:numPr>
          <w:ilvl w:val="0"/>
          <w:numId w:val="5"/>
        </w:numPr>
        <w:spacing w:after="0" w:line="276" w:lineRule="auto"/>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Soggetti privati destinatari dell’attività della pubblica amministrazione</w:t>
      </w:r>
    </w:p>
    <w:p w14:paraId="512FBD59" w14:textId="3A473FC1"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L’Autorità ritiene che, al di là della formulazione letterale della norma che sembra riguardare solo società, imprese, studi professionali, la nozione di soggetto privato debba essere la più ampia possibile. Sono pertanto da considerarsi anche i soggetti che, pur formalmente privati, sono partecipati o controllati da una pubblica amministrazione, in quanto la loro esclusione comporterebbe una ingiustificata limitazione dell’applicazione</w:t>
      </w:r>
      <w:r w:rsidRPr="00A62ADC">
        <w:rPr>
          <w:rFonts w:ascii="Times New Roman" w:hAnsi="Times New Roman"/>
          <w:color w:val="000000"/>
          <w:sz w:val="20"/>
          <w:szCs w:val="20"/>
          <w:lang w:eastAsia="it-IT"/>
        </w:rPr>
        <w:t xml:space="preserve"> </w:t>
      </w:r>
      <w:r w:rsidRPr="00D1263B">
        <w:rPr>
          <w:rFonts w:ascii="Times New Roman" w:hAnsi="Times New Roman"/>
          <w:i/>
          <w:color w:val="000000"/>
          <w:sz w:val="20"/>
          <w:szCs w:val="20"/>
          <w:lang w:eastAsia="it-IT"/>
        </w:rPr>
        <w:t>della norma e una situazione di disparità di trattamento.</w:t>
      </w:r>
    </w:p>
    <w:p w14:paraId="5A65AEA5" w14:textId="0F7CA4ED" w:rsidR="00603F3F" w:rsidRDefault="00603F3F" w:rsidP="003E3269">
      <w:pPr>
        <w:pStyle w:val="Paragrafoelenco"/>
        <w:widowControl w:val="0"/>
        <w:numPr>
          <w:ilvl w:val="0"/>
          <w:numId w:val="5"/>
        </w:numPr>
        <w:spacing w:after="0" w:line="276" w:lineRule="auto"/>
        <w:ind w:left="284" w:hanging="284"/>
        <w:jc w:val="both"/>
        <w:rPr>
          <w:rFonts w:ascii="Times New Roman" w:hAnsi="Times New Roman"/>
          <w:color w:val="000000"/>
          <w:sz w:val="20"/>
          <w:szCs w:val="20"/>
          <w:lang w:eastAsia="it-IT"/>
        </w:rPr>
      </w:pPr>
      <w:r>
        <w:rPr>
          <w:rFonts w:ascii="Times New Roman" w:hAnsi="Times New Roman"/>
          <w:color w:val="000000"/>
          <w:sz w:val="20"/>
          <w:szCs w:val="20"/>
          <w:lang w:eastAsia="it-IT"/>
        </w:rPr>
        <w:t>Sanzioni</w:t>
      </w:r>
    </w:p>
    <w:p w14:paraId="3BCFE005" w14:textId="4CC1F692"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La formulazione delle disposizioni riguardanti il regime sanzionatorio ha sollevato molti dubbi interpretativi, in quanto non sono chiaramente identificati l’organo o l’autorità competente a garantire l’esecuzione degli effetti sanzionatori, tenendo conto anche della difficoltà per l’amministrazione di verificare il comportamento di un dipendente cessato dal servizio.</w:t>
      </w:r>
      <w:r w:rsidRPr="00D1263B">
        <w:rPr>
          <w:i/>
        </w:rPr>
        <w:t xml:space="preserve"> R</w:t>
      </w:r>
      <w:r w:rsidRPr="00D1263B">
        <w:rPr>
          <w:rFonts w:ascii="Times New Roman" w:hAnsi="Times New Roman"/>
          <w:i/>
          <w:color w:val="000000"/>
          <w:sz w:val="20"/>
          <w:szCs w:val="20"/>
          <w:lang w:eastAsia="it-IT"/>
        </w:rPr>
        <w:t>imane anche problematico l’aspetto riguardante l’individuazione del soggetto cui spetta assumere la decisione finale sulla nullità dei contratti conclusi e degli incarichi conferiti e sulla preclusione dalla partecipazione alle procedure di affidamento di appalti pubblici, con conseguenti ripercussioni anche sulla la decorrenza certa degli effetti sanzionatori.</w:t>
      </w:r>
    </w:p>
    <w:p w14:paraId="481D10DC" w14:textId="4690DA37"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Al fine di rendere pienamente efficace la disciplina sul pantouflage, l’Autorità si riserva di presentare un eventuale atto di segnalazione al Governo e Parlamento.</w:t>
      </w:r>
    </w:p>
    <w:p w14:paraId="3E104ACB" w14:textId="5BFC689F" w:rsidR="00603F3F" w:rsidRPr="00D1263B" w:rsidRDefault="00603F3F" w:rsidP="00603F3F">
      <w:pPr>
        <w:pStyle w:val="Paragrafoelenco"/>
        <w:widowControl w:val="0"/>
        <w:spacing w:after="0" w:line="276" w:lineRule="auto"/>
        <w:ind w:left="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Infine, l’Autorità suggerisce di prevedere nei PTPC, quale misura volta a implementare l’attuazione dell’istituto, l’obbligo per il dipendente, al momento della cessazione dal servizio, di sottoscrivere una dichiarazione con cui si impegna al rispetto del divieto di pantouflage, allo scopo di evitare eventuali contestazioni in ordine alla conoscibilità della norma.</w:t>
      </w:r>
    </w:p>
    <w:p w14:paraId="24E5803B" w14:textId="77777777" w:rsidR="00603F3F" w:rsidRDefault="00603F3F" w:rsidP="00603F3F">
      <w:pPr>
        <w:widowControl w:val="0"/>
        <w:spacing w:after="0"/>
        <w:jc w:val="both"/>
        <w:rPr>
          <w:rFonts w:ascii="Times New Roman" w:hAnsi="Times New Roman"/>
          <w:color w:val="000000"/>
          <w:sz w:val="20"/>
          <w:szCs w:val="20"/>
          <w:lang w:eastAsia="it-IT"/>
        </w:rPr>
      </w:pPr>
    </w:p>
    <w:p w14:paraId="5A29565F" w14:textId="4A46586C" w:rsidR="00603F3F" w:rsidRPr="00CD7FBE" w:rsidRDefault="00603F3F" w:rsidP="00603F3F">
      <w:pPr>
        <w:widowControl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Pertanto,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w:t>
      </w:r>
      <w:r>
        <w:rPr>
          <w:rFonts w:ascii="Times New Roman" w:hAnsi="Times New Roman"/>
          <w:color w:val="000000"/>
          <w:sz w:val="20"/>
          <w:szCs w:val="20"/>
          <w:lang w:eastAsia="it-IT"/>
        </w:rPr>
        <w:t>adotta</w:t>
      </w:r>
      <w:r w:rsidRPr="00CD7FBE">
        <w:rPr>
          <w:rFonts w:ascii="Times New Roman" w:hAnsi="Times New Roman"/>
          <w:color w:val="000000"/>
          <w:sz w:val="20"/>
          <w:szCs w:val="20"/>
          <w:lang w:eastAsia="it-IT"/>
        </w:rPr>
        <w:t xml:space="preserve"> misure organizzative necessarie ad evitare l’assunzione di dipendenti che, negli ultimi tre anni di servizio, abbiano esercitato poteri autoritativi o negoziali per conto di pubbliche amministrazioni nei confronti della società stessa.</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La società adotta altresì le misure organizzative necessarie ad assicurare che:</w:t>
      </w:r>
    </w:p>
    <w:p w14:paraId="7EE3673B" w14:textId="77777777" w:rsidR="00603F3F" w:rsidRPr="00D1263B" w:rsidRDefault="00603F3F" w:rsidP="00603F3F">
      <w:pPr>
        <w:widowControl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1.</w:t>
      </w:r>
      <w:r w:rsidRPr="00CD7FBE">
        <w:rPr>
          <w:rFonts w:ascii="Times New Roman" w:hAnsi="Times New Roman"/>
          <w:color w:val="000000"/>
          <w:sz w:val="20"/>
          <w:szCs w:val="20"/>
          <w:lang w:eastAsia="it-IT"/>
        </w:rPr>
        <w:tab/>
      </w:r>
      <w:r w:rsidRPr="00D1263B">
        <w:rPr>
          <w:rFonts w:ascii="Times New Roman" w:hAnsi="Times New Roman"/>
          <w:i/>
          <w:color w:val="000000"/>
          <w:sz w:val="20"/>
          <w:szCs w:val="20"/>
          <w:lang w:eastAsia="it-IT"/>
        </w:rPr>
        <w:t>negli interpelli o comunque nelle varie forme di selezione del personale sia inserita espressamente la condizione ostativa sopra menzionata;</w:t>
      </w:r>
    </w:p>
    <w:p w14:paraId="74FC31C6" w14:textId="77777777" w:rsidR="00603F3F" w:rsidRPr="00D1263B" w:rsidRDefault="00603F3F" w:rsidP="00603F3F">
      <w:pPr>
        <w:widowControl w:val="0"/>
        <w:spacing w:after="0"/>
        <w:ind w:left="284" w:hanging="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2.</w:t>
      </w:r>
      <w:r w:rsidRPr="00D1263B">
        <w:rPr>
          <w:rFonts w:ascii="Times New Roman" w:hAnsi="Times New Roman"/>
          <w:i/>
          <w:color w:val="000000"/>
          <w:sz w:val="20"/>
          <w:szCs w:val="20"/>
          <w:lang w:eastAsia="it-IT"/>
        </w:rPr>
        <w:tab/>
        <w:t>i soggetti interessati rendono la dichiarazione di insussistenza della suddetta causa ostativa;</w:t>
      </w:r>
    </w:p>
    <w:p w14:paraId="0A0E7623" w14:textId="77777777" w:rsidR="00603F3F" w:rsidRPr="00D1263B" w:rsidRDefault="00603F3F" w:rsidP="00603F3F">
      <w:pPr>
        <w:widowControl w:val="0"/>
        <w:spacing w:after="0"/>
        <w:ind w:left="284" w:hanging="284"/>
        <w:jc w:val="both"/>
        <w:rPr>
          <w:rFonts w:ascii="Times New Roman" w:hAnsi="Times New Roman"/>
          <w:i/>
          <w:color w:val="000000"/>
          <w:sz w:val="20"/>
          <w:szCs w:val="20"/>
          <w:lang w:eastAsia="it-IT"/>
        </w:rPr>
      </w:pPr>
      <w:r w:rsidRPr="00D1263B">
        <w:rPr>
          <w:rFonts w:ascii="Times New Roman" w:hAnsi="Times New Roman"/>
          <w:i/>
          <w:color w:val="000000"/>
          <w:sz w:val="20"/>
          <w:szCs w:val="20"/>
          <w:lang w:eastAsia="it-IT"/>
        </w:rPr>
        <w:t>3.</w:t>
      </w:r>
      <w:r w:rsidRPr="00D1263B">
        <w:rPr>
          <w:rFonts w:ascii="Times New Roman" w:hAnsi="Times New Roman"/>
          <w:i/>
          <w:color w:val="000000"/>
          <w:sz w:val="20"/>
          <w:szCs w:val="20"/>
          <w:lang w:eastAsia="it-IT"/>
        </w:rPr>
        <w:tab/>
        <w:t>sia svolta un’attività di vigilanza su segnalazione di soggetti interni ed esterni, soprattutto al fine di verificare l’esistenza di cause ostative.</w:t>
      </w:r>
    </w:p>
    <w:p w14:paraId="67D6E445" w14:textId="77777777" w:rsidR="00603F3F" w:rsidRDefault="00603F3F" w:rsidP="00603F3F">
      <w:pPr>
        <w:widowControl w:val="0"/>
        <w:spacing w:after="0"/>
        <w:rPr>
          <w:rFonts w:ascii="Times New Roman" w:hAnsi="Times New Roman"/>
          <w:color w:val="000000"/>
          <w:sz w:val="20"/>
          <w:szCs w:val="20"/>
          <w:lang w:eastAsia="it-IT"/>
        </w:rPr>
      </w:pPr>
    </w:p>
    <w:p w14:paraId="084C8AE7" w14:textId="186AA79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E69D2">
        <w:rPr>
          <w:rFonts w:ascii="Times New Roman" w:hAnsi="Times New Roman"/>
          <w:color w:val="000000"/>
          <w:sz w:val="20"/>
          <w:szCs w:val="20"/>
          <w:lang w:eastAsia="it-IT"/>
        </w:rPr>
        <w:t xml:space="preserve">La vigilanza sul rispetto delle disposizioni di cui al presente paragrafo è demandata al RPCT, il quale si avvale del supporto operativo </w:t>
      </w:r>
      <w:r w:rsidRPr="00BE69D2">
        <w:rPr>
          <w:rFonts w:ascii="Times New Roman" w:hAnsi="Times New Roman"/>
          <w:i/>
          <w:color w:val="000000"/>
          <w:sz w:val="20"/>
          <w:szCs w:val="20"/>
          <w:lang w:eastAsia="it-IT"/>
        </w:rPr>
        <w:t>dell’Internal Audit</w:t>
      </w:r>
      <w:r w:rsidRPr="00BE69D2">
        <w:rPr>
          <w:rFonts w:ascii="Times New Roman" w:hAnsi="Times New Roman"/>
          <w:color w:val="000000"/>
          <w:sz w:val="20"/>
          <w:szCs w:val="20"/>
          <w:lang w:eastAsia="it-IT"/>
        </w:rPr>
        <w:t>. L’attività di vigilanza è condotta, anche, in occasione delle verifiche semestrali di cui successivo paragrafo 9. Per le misure poste in essere su tali attività, si fa rinvio al MOG Parte Speciale – allegato n. 2 “Codice Etico e di Comportamento” e allegato n. 3 “T.U. Regolamenti e Procedure”.</w:t>
      </w:r>
    </w:p>
    <w:p w14:paraId="7B797497" w14:textId="77777777" w:rsidR="00603F3F" w:rsidRPr="00CD7FBE" w:rsidRDefault="00603F3F" w:rsidP="00603F3F">
      <w:pPr>
        <w:widowControl w:val="0"/>
        <w:spacing w:after="0"/>
        <w:rPr>
          <w:rFonts w:ascii="Times New Roman" w:hAnsi="Times New Roman"/>
          <w:color w:val="000000"/>
          <w:sz w:val="20"/>
          <w:szCs w:val="20"/>
          <w:lang w:eastAsia="it-IT"/>
        </w:rPr>
      </w:pPr>
    </w:p>
    <w:p w14:paraId="7D7AB94A"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645" w:name="_Toc454796242"/>
      <w:bookmarkStart w:id="646" w:name="_Toc454796304"/>
      <w:bookmarkStart w:id="647" w:name="_Toc473547420"/>
      <w:bookmarkStart w:id="648" w:name="_Toc535854456"/>
      <w:r w:rsidRPr="00FB1545">
        <w:t>La formazione di commissioni, assegnazioni agli uffici, conferimento di incarichi dirigenziali in caso di condanna penale per delitti contro la Pubblica Amministrazione</w:t>
      </w:r>
      <w:bookmarkEnd w:id="645"/>
      <w:bookmarkEnd w:id="646"/>
      <w:bookmarkEnd w:id="647"/>
      <w:bookmarkEnd w:id="648"/>
      <w:r w:rsidRPr="00FB1545">
        <w:t xml:space="preserve"> </w:t>
      </w:r>
    </w:p>
    <w:p w14:paraId="19C45E86" w14:textId="44E86650"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Ai sensi dell’articolo 35 bis del </w:t>
      </w:r>
      <w:r w:rsidR="00884990">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n. 165/2001</w:t>
      </w:r>
      <w:r w:rsidRPr="00CD7FBE">
        <w:rPr>
          <w:rStyle w:val="Rimandonotadichiusura"/>
          <w:rFonts w:ascii="Times New Roman" w:hAnsi="Times New Roman"/>
          <w:color w:val="000000"/>
          <w:sz w:val="20"/>
          <w:szCs w:val="20"/>
          <w:lang w:eastAsia="it-IT"/>
        </w:rPr>
        <w:endnoteReference w:id="58"/>
      </w:r>
      <w:r w:rsidRPr="00CD7FBE">
        <w:rPr>
          <w:rFonts w:ascii="Times New Roman" w:hAnsi="Times New Roman"/>
          <w:color w:val="000000"/>
          <w:sz w:val="20"/>
          <w:szCs w:val="20"/>
          <w:lang w:eastAsia="it-IT"/>
        </w:rPr>
        <w:t>, introdotto dall’articolo 1, comma 46, della legge n. 190 del 2012, coloro che sono stati condannati, anche con sentenza non passata in giudicato, per i reati previsti nel Capo I del Titolo II del Libro II del Codice penale, non possono far parte, anche con compiti di segreteria, di Commissioni per l’accesso o la selezione ai pubblici impieghi;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far parte delle commissioni per la scelta del contraente e per l’affidamento di lavori, forniture e servizi, per la concessione o l’erogazione di sovvenzioni, contributi, sussidi, ausili finanziari nonché per l’attribuzione di vantaggi di qualunque genere.</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Con la nuova normativa sono state introdotte anche delle misure di prevenzione di carattere soggettivo, con le quali la tutela è anticipata al momento di individuazione degli organi che sono deputati a prendere decisioni e ad esercitare il potere nelle amministrazioni. Tra queste, il nuovo art. 35-bis, inserito nell’ambito del </w:t>
      </w:r>
      <w:r w:rsidR="00524D78">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n. 165 del 2001</w:t>
      </w:r>
      <w:r w:rsidRPr="00CD7FBE">
        <w:rPr>
          <w:rStyle w:val="Rimandonotadichiusura"/>
          <w:rFonts w:ascii="Times New Roman" w:hAnsi="Times New Roman"/>
          <w:color w:val="000000"/>
          <w:sz w:val="20"/>
          <w:szCs w:val="20"/>
          <w:lang w:eastAsia="it-IT"/>
        </w:rPr>
        <w:endnoteReference w:id="59"/>
      </w:r>
      <w:r w:rsidRPr="00CD7FBE">
        <w:rPr>
          <w:rFonts w:ascii="Times New Roman" w:hAnsi="Times New Roman"/>
          <w:color w:val="000000"/>
          <w:sz w:val="20"/>
          <w:szCs w:val="20"/>
          <w:lang w:eastAsia="it-IT"/>
        </w:rPr>
        <w:t xml:space="preserve">, pone delle condizioni ostative per la partecipazione a commissioni di concorso o di gara e per lo svolgimento di funzioni direttive in riferimento agli uffici considerati a più elevato rischio di corruzione. La norma in particolare prevede: </w:t>
      </w:r>
    </w:p>
    <w:p w14:paraId="1D6AFBA5"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i/>
          <w:color w:val="000000"/>
          <w:sz w:val="20"/>
          <w:szCs w:val="20"/>
          <w:lang w:eastAsia="it-IT"/>
        </w:rPr>
        <w:t>1.</w:t>
      </w:r>
      <w:r w:rsidRPr="00CD7FBE">
        <w:rPr>
          <w:rFonts w:ascii="Times New Roman" w:hAnsi="Times New Roman"/>
          <w:i/>
          <w:color w:val="000000"/>
          <w:sz w:val="20"/>
          <w:szCs w:val="20"/>
          <w:lang w:eastAsia="it-IT"/>
        </w:rPr>
        <w:tab/>
        <w:t xml:space="preserve">Coloro che sono stati condannati, anche con sentenza non passata in giudicato, per i reati previsti nel capo I del titolo II del libro secondo del codice penale: </w:t>
      </w:r>
    </w:p>
    <w:p w14:paraId="2C44AEED" w14:textId="77777777" w:rsidR="00603F3F" w:rsidRPr="00CD7FBE" w:rsidRDefault="00603F3F" w:rsidP="00603F3F">
      <w:pPr>
        <w:widowControl w:val="0"/>
        <w:autoSpaceDE w:val="0"/>
        <w:autoSpaceDN w:val="0"/>
        <w:adjustRightInd w:val="0"/>
        <w:spacing w:after="0"/>
        <w:ind w:left="567" w:hanging="284"/>
        <w:jc w:val="both"/>
        <w:rPr>
          <w:rFonts w:ascii="Times New Roman" w:hAnsi="Times New Roman"/>
          <w:i/>
          <w:color w:val="000000"/>
          <w:sz w:val="20"/>
          <w:szCs w:val="20"/>
          <w:lang w:eastAsia="it-IT"/>
        </w:rPr>
      </w:pPr>
      <w:r w:rsidRPr="00CD7FBE">
        <w:rPr>
          <w:rFonts w:ascii="Times New Roman" w:hAnsi="Times New Roman"/>
          <w:i/>
          <w:color w:val="000000"/>
          <w:sz w:val="20"/>
          <w:szCs w:val="20"/>
          <w:lang w:eastAsia="it-IT"/>
        </w:rPr>
        <w:t>a)</w:t>
      </w:r>
      <w:r w:rsidRPr="00CD7FBE">
        <w:rPr>
          <w:rFonts w:ascii="Times New Roman" w:hAnsi="Times New Roman"/>
          <w:i/>
          <w:color w:val="000000"/>
          <w:sz w:val="20"/>
          <w:szCs w:val="20"/>
          <w:lang w:eastAsia="it-IT"/>
        </w:rPr>
        <w:tab/>
        <w:t xml:space="preserve">non possono fare parte, anche con compiti di segreteria, di commissioni per l'accesso o la selezione a pubblici impieghi; </w:t>
      </w:r>
    </w:p>
    <w:p w14:paraId="61F78699" w14:textId="77777777" w:rsidR="00603F3F" w:rsidRPr="00CD7FBE" w:rsidRDefault="00603F3F" w:rsidP="00603F3F">
      <w:pPr>
        <w:widowControl w:val="0"/>
        <w:autoSpaceDE w:val="0"/>
        <w:autoSpaceDN w:val="0"/>
        <w:adjustRightInd w:val="0"/>
        <w:spacing w:after="0"/>
        <w:ind w:left="567" w:hanging="284"/>
        <w:jc w:val="both"/>
        <w:rPr>
          <w:rFonts w:ascii="Times New Roman" w:hAnsi="Times New Roman"/>
          <w:i/>
          <w:color w:val="000000"/>
          <w:sz w:val="20"/>
          <w:szCs w:val="20"/>
          <w:lang w:eastAsia="it-IT"/>
        </w:rPr>
      </w:pPr>
      <w:r w:rsidRPr="00CD7FBE">
        <w:rPr>
          <w:rFonts w:ascii="Times New Roman" w:hAnsi="Times New Roman"/>
          <w:i/>
          <w:color w:val="000000"/>
          <w:sz w:val="20"/>
          <w:szCs w:val="20"/>
          <w:lang w:eastAsia="it-IT"/>
        </w:rPr>
        <w:t>b)</w:t>
      </w:r>
      <w:r w:rsidRPr="00CD7FBE">
        <w:rPr>
          <w:rFonts w:ascii="Times New Roman" w:hAnsi="Times New Roman"/>
          <w:i/>
          <w:color w:val="000000"/>
          <w:sz w:val="20"/>
          <w:szCs w:val="20"/>
          <w:lang w:eastAsia="it-IT"/>
        </w:rPr>
        <w:tab/>
        <w:t xml:space="preserve">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w:t>
      </w:r>
    </w:p>
    <w:p w14:paraId="6FF386E0" w14:textId="77777777" w:rsidR="00603F3F" w:rsidRPr="00CD7FBE" w:rsidRDefault="00603F3F" w:rsidP="00603F3F">
      <w:pPr>
        <w:widowControl w:val="0"/>
        <w:autoSpaceDE w:val="0"/>
        <w:autoSpaceDN w:val="0"/>
        <w:adjustRightInd w:val="0"/>
        <w:spacing w:after="0"/>
        <w:ind w:left="567" w:hanging="284"/>
        <w:jc w:val="both"/>
        <w:rPr>
          <w:rFonts w:ascii="Times New Roman" w:hAnsi="Times New Roman"/>
          <w:i/>
          <w:color w:val="000000"/>
          <w:sz w:val="20"/>
          <w:szCs w:val="20"/>
          <w:lang w:eastAsia="it-IT"/>
        </w:rPr>
      </w:pPr>
      <w:r w:rsidRPr="00CD7FBE">
        <w:rPr>
          <w:rFonts w:ascii="Times New Roman" w:hAnsi="Times New Roman"/>
          <w:i/>
          <w:color w:val="000000"/>
          <w:sz w:val="20"/>
          <w:szCs w:val="20"/>
          <w:lang w:eastAsia="it-IT"/>
        </w:rPr>
        <w:t>c)</w:t>
      </w:r>
      <w:r w:rsidRPr="00CD7FBE">
        <w:rPr>
          <w:rFonts w:ascii="Times New Roman" w:hAnsi="Times New Roman"/>
          <w:i/>
          <w:color w:val="000000"/>
          <w:sz w:val="20"/>
          <w:szCs w:val="20"/>
          <w:lang w:eastAsia="it-IT"/>
        </w:rPr>
        <w:tab/>
        <w:t xml:space="preserve">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6C8A43C5" w14:textId="77777777" w:rsidR="00603F3F" w:rsidRPr="00CD7FBE" w:rsidRDefault="00603F3F" w:rsidP="00603F3F">
      <w:pPr>
        <w:widowControl w:val="0"/>
        <w:autoSpaceDE w:val="0"/>
        <w:autoSpaceDN w:val="0"/>
        <w:adjustRightInd w:val="0"/>
        <w:spacing w:after="0"/>
        <w:ind w:left="284" w:hanging="284"/>
        <w:jc w:val="both"/>
        <w:rPr>
          <w:rFonts w:ascii="Times New Roman" w:hAnsi="Times New Roman"/>
          <w:color w:val="000000"/>
          <w:sz w:val="20"/>
          <w:szCs w:val="20"/>
          <w:lang w:eastAsia="it-IT"/>
        </w:rPr>
      </w:pPr>
      <w:r w:rsidRPr="00CD7FBE">
        <w:rPr>
          <w:rFonts w:ascii="Times New Roman" w:hAnsi="Times New Roman"/>
          <w:i/>
          <w:color w:val="000000"/>
          <w:sz w:val="20"/>
          <w:szCs w:val="20"/>
          <w:lang w:eastAsia="it-IT"/>
        </w:rPr>
        <w:t>2.</w:t>
      </w:r>
      <w:r w:rsidRPr="00CD7FBE">
        <w:rPr>
          <w:rFonts w:ascii="Times New Roman" w:hAnsi="Times New Roman"/>
          <w:i/>
          <w:color w:val="000000"/>
          <w:sz w:val="20"/>
          <w:szCs w:val="20"/>
          <w:lang w:eastAsia="it-IT"/>
        </w:rPr>
        <w:tab/>
        <w:t>La disposizione prevista al comma 1 integra le leggi e regolamenti che disciplinano la formazione di commissioni e la nomina dei relativi segretari</w:t>
      </w:r>
      <w:r w:rsidRPr="00CD7FBE">
        <w:rPr>
          <w:rFonts w:ascii="Times New Roman" w:hAnsi="Times New Roman"/>
          <w:color w:val="000000"/>
          <w:sz w:val="20"/>
          <w:szCs w:val="20"/>
          <w:lang w:eastAsia="it-IT"/>
        </w:rPr>
        <w:t>.”.</w:t>
      </w:r>
    </w:p>
    <w:p w14:paraId="0F56DB46" w14:textId="154EE6F4"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4C73807E" w14:textId="3E840D11"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A tal fine il dipendente dovrà sottoscrivere una dichiarazione sostitutiva di certificazione ex artt. 46</w:t>
      </w:r>
      <w:r w:rsidRPr="00D9696E">
        <w:rPr>
          <w:vertAlign w:val="superscript"/>
        </w:rPr>
        <w:endnoteReference w:id="60"/>
      </w:r>
      <w:r w:rsidRPr="00CD7FBE">
        <w:rPr>
          <w:rFonts w:ascii="Times New Roman" w:hAnsi="Times New Roman"/>
          <w:color w:val="000000"/>
          <w:sz w:val="20"/>
          <w:szCs w:val="20"/>
          <w:lang w:eastAsia="it-IT"/>
        </w:rPr>
        <w:t xml:space="preserve"> e 47</w:t>
      </w:r>
      <w:r w:rsidRPr="00D9696E">
        <w:rPr>
          <w:vertAlign w:val="superscript"/>
        </w:rPr>
        <w:endnoteReference w:id="61"/>
      </w:r>
      <w:r w:rsidRPr="00D9696E">
        <w:rPr>
          <w:rFonts w:ascii="Times New Roman" w:hAnsi="Times New Roman"/>
          <w:color w:val="000000"/>
          <w:sz w:val="20"/>
          <w:szCs w:val="20"/>
          <w:vertAlign w:val="superscript"/>
          <w:lang w:eastAsia="it-IT"/>
        </w:rPr>
        <w:t xml:space="preserve"> </w:t>
      </w:r>
      <w:r w:rsidRPr="00CD7FBE">
        <w:rPr>
          <w:rFonts w:ascii="Times New Roman" w:hAnsi="Times New Roman"/>
          <w:color w:val="000000"/>
          <w:sz w:val="20"/>
          <w:szCs w:val="20"/>
          <w:lang w:eastAsia="it-IT"/>
        </w:rPr>
        <w:t>del D.P.R. n. 445 del 2000, in cui attestare l’assenza di condanne penali relative ai reati previsti nel Capo I, Titolo II del Libro II del Codice penale.</w:t>
      </w:r>
      <w:r>
        <w:rPr>
          <w:rFonts w:ascii="Times New Roman" w:hAnsi="Times New Roman"/>
          <w:color w:val="000000"/>
          <w:sz w:val="20"/>
          <w:szCs w:val="20"/>
          <w:lang w:eastAsia="it-IT"/>
        </w:rPr>
        <w:t xml:space="preserve"> </w:t>
      </w:r>
      <w:r w:rsidR="003A0136">
        <w:rPr>
          <w:rFonts w:ascii="Times New Roman" w:hAnsi="Times New Roman"/>
          <w:color w:val="000000"/>
          <w:sz w:val="20"/>
          <w:szCs w:val="20"/>
          <w:lang w:eastAsia="it-IT"/>
        </w:rPr>
        <w:t>I</w:t>
      </w:r>
      <w:r w:rsidRPr="00CD7FBE">
        <w:rPr>
          <w:rFonts w:ascii="Times New Roman" w:hAnsi="Times New Roman"/>
          <w:color w:val="000000"/>
          <w:sz w:val="20"/>
          <w:szCs w:val="20"/>
          <w:lang w:eastAsia="it-IT"/>
        </w:rPr>
        <w:t xml:space="preserve"> Responsabili dovranno e</w:t>
      </w:r>
      <w:r w:rsidR="003A0136">
        <w:rPr>
          <w:rFonts w:ascii="Times New Roman" w:hAnsi="Times New Roman"/>
          <w:color w:val="000000"/>
          <w:sz w:val="20"/>
          <w:szCs w:val="20"/>
          <w:lang w:eastAsia="it-IT"/>
        </w:rPr>
        <w:t>ffettuare un censimento di tutto il Settore</w:t>
      </w:r>
      <w:r w:rsidRPr="00CD7FBE">
        <w:rPr>
          <w:rFonts w:ascii="Times New Roman" w:hAnsi="Times New Roman"/>
          <w:color w:val="000000"/>
          <w:sz w:val="20"/>
          <w:szCs w:val="20"/>
          <w:lang w:eastAsia="it-IT"/>
        </w:rPr>
        <w:t>/U</w:t>
      </w:r>
      <w:r>
        <w:rPr>
          <w:rFonts w:ascii="Times New Roman" w:hAnsi="Times New Roman"/>
          <w:color w:val="000000"/>
          <w:sz w:val="20"/>
          <w:szCs w:val="20"/>
          <w:lang w:eastAsia="it-IT"/>
        </w:rPr>
        <w:t>fficio</w:t>
      </w:r>
      <w:r w:rsidRPr="00CD7FBE">
        <w:rPr>
          <w:rFonts w:ascii="Times New Roman" w:hAnsi="Times New Roman"/>
          <w:color w:val="000000"/>
          <w:sz w:val="20"/>
          <w:szCs w:val="20"/>
          <w:lang w:eastAsia="it-IT"/>
        </w:rPr>
        <w:t xml:space="preserve"> di propria competenza, attraverso una verifica delle risorse umane, degli incarichi e delle responsabilità dei singoli obiettivi già affidati. Una volta effettuato il censimento, saranno proposte misure idonee a prevenire e contrastare i fenomeni di corruzione, laddove esistenti. Il censimento sarà relazionato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corredato da proposte adeguate per l’adozione di misure nei settori in cui è più elevato il rischio di corruzione, prevedendo altresì proposte per la revoca degli incarichi già affidati, qualora emergesse un effettivo e concreto rischio di corruzione.</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Per ciò che concerne la nomina delle Commissioni per l’affidamento di servizi/forniture/lavori, i commissari/componenti sono obbligati al rilascio di dichiarazioni ex artt. 46</w:t>
      </w:r>
      <w:r w:rsidRPr="00CD7FBE">
        <w:rPr>
          <w:rStyle w:val="Rimandonotadichiusura"/>
          <w:rFonts w:ascii="Times New Roman" w:hAnsi="Times New Roman"/>
          <w:color w:val="000000"/>
          <w:sz w:val="20"/>
          <w:szCs w:val="20"/>
          <w:lang w:eastAsia="it-IT"/>
        </w:rPr>
        <w:endnoteReference w:id="62"/>
      </w:r>
      <w:r w:rsidRPr="00CD7FBE">
        <w:rPr>
          <w:rFonts w:ascii="Times New Roman" w:hAnsi="Times New Roman"/>
          <w:color w:val="000000"/>
          <w:sz w:val="20"/>
          <w:szCs w:val="20"/>
          <w:lang w:eastAsia="it-IT"/>
        </w:rPr>
        <w:t xml:space="preserve"> e 47</w:t>
      </w:r>
      <w:r w:rsidRPr="00CD7FBE">
        <w:rPr>
          <w:rStyle w:val="Rimandonotadichiusura"/>
          <w:rFonts w:ascii="Times New Roman" w:hAnsi="Times New Roman"/>
          <w:color w:val="000000"/>
          <w:sz w:val="20"/>
          <w:szCs w:val="20"/>
          <w:lang w:eastAsia="it-IT"/>
        </w:rPr>
        <w:endnoteReference w:id="63"/>
      </w:r>
      <w:r w:rsidRPr="00CD7FBE">
        <w:rPr>
          <w:rFonts w:ascii="Times New Roman" w:hAnsi="Times New Roman"/>
          <w:color w:val="000000"/>
          <w:sz w:val="20"/>
          <w:szCs w:val="20"/>
          <w:lang w:eastAsia="it-IT"/>
        </w:rPr>
        <w:t xml:space="preserve"> del D.P.R. n. 445 del 2000 attestanti:</w:t>
      </w:r>
    </w:p>
    <w:p w14:paraId="06155132"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 xml:space="preserve">a) </w:t>
      </w:r>
      <w:r w:rsidRPr="00F72F97">
        <w:rPr>
          <w:rFonts w:ascii="Times New Roman" w:hAnsi="Times New Roman"/>
          <w:i/>
          <w:color w:val="000000"/>
          <w:sz w:val="20"/>
          <w:szCs w:val="20"/>
          <w:lang w:eastAsia="it-IT"/>
        </w:rPr>
        <w:t>l’esatta tipologia di impiego/lavoro, sia pubblico che privato, svolto negli ultimi 5 anni;</w:t>
      </w:r>
    </w:p>
    <w:p w14:paraId="7AD8A275"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b) di non svolgere o aver svolto «alcun’altra funzione o incarico tecnico o amministrativo relativamente al contratto del cui affidamento si tratta»;</w:t>
      </w:r>
    </w:p>
    <w:p w14:paraId="63DD64A7"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c) se professionisti, di essere iscritti in albi professionali da almeno 10 anni;</w:t>
      </w:r>
    </w:p>
    <w:p w14:paraId="3F6B4823"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d) di non aver concorso, «in qualità di membri delle commissioni giudicatrici, con dolo o colpa grave accertati in sede giurisdizionale con sentenza non sospesa, all’approvazione di atti dichiarati illegittimi»;</w:t>
      </w:r>
    </w:p>
    <w:p w14:paraId="11BB4F05"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e) di non trovarsi in conflitto di interesse con riguardo ai dipendenti della stazione appaltante per rapporti di coniugio, parentela o affinità o pregressi rapporti professionali;</w:t>
      </w:r>
    </w:p>
    <w:p w14:paraId="59D3204C"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f) assenza di cause di incompatibilità con riferimento ai concorrenti alla gara;</w:t>
      </w:r>
    </w:p>
    <w:p w14:paraId="138AE744" w14:textId="77777777" w:rsidR="00603F3F" w:rsidRPr="00F72F97"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r w:rsidRPr="00F72F97">
        <w:rPr>
          <w:rFonts w:ascii="Times New Roman" w:hAnsi="Times New Roman"/>
          <w:i/>
          <w:color w:val="000000"/>
          <w:sz w:val="20"/>
          <w:szCs w:val="20"/>
          <w:lang w:eastAsia="it-IT"/>
        </w:rPr>
        <w:t>g) l’assenza di condanne penali relative ai reati previsti nel Capo I, Titolo II del Libro II del Codice penale.</w:t>
      </w:r>
    </w:p>
    <w:p w14:paraId="52D6E582"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192F82D9" w14:textId="5954F3B2"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E69D2">
        <w:rPr>
          <w:rFonts w:ascii="Times New Roman" w:hAnsi="Times New Roman"/>
          <w:color w:val="000000"/>
          <w:sz w:val="20"/>
          <w:szCs w:val="20"/>
          <w:lang w:eastAsia="it-IT"/>
        </w:rPr>
        <w:t xml:space="preserve">Per le misure poste in essere su tali attività, si fa rinvio al MOG Parte </w:t>
      </w:r>
      <w:r w:rsidRPr="0070096C">
        <w:rPr>
          <w:rFonts w:ascii="Times New Roman" w:hAnsi="Times New Roman"/>
          <w:color w:val="000000"/>
          <w:sz w:val="20"/>
          <w:szCs w:val="20"/>
          <w:lang w:eastAsia="it-IT"/>
        </w:rPr>
        <w:t xml:space="preserve">Speciale </w:t>
      </w:r>
      <w:r w:rsidR="0070096C" w:rsidRPr="0070096C">
        <w:rPr>
          <w:rFonts w:ascii="Times New Roman" w:hAnsi="Times New Roman"/>
          <w:color w:val="000000"/>
          <w:sz w:val="20"/>
          <w:szCs w:val="20"/>
          <w:lang w:eastAsia="it-IT"/>
        </w:rPr>
        <w:t>-</w:t>
      </w:r>
      <w:r w:rsidRPr="0070096C">
        <w:rPr>
          <w:rFonts w:ascii="Times New Roman" w:hAnsi="Times New Roman"/>
          <w:color w:val="000000"/>
          <w:sz w:val="20"/>
          <w:szCs w:val="20"/>
          <w:lang w:eastAsia="it-IT"/>
        </w:rPr>
        <w:t xml:space="preserve"> </w:t>
      </w:r>
      <w:r w:rsidR="0070096C" w:rsidRPr="0070096C">
        <w:rPr>
          <w:rFonts w:ascii="Times New Roman" w:hAnsi="Times New Roman"/>
          <w:color w:val="000000"/>
          <w:sz w:val="20"/>
          <w:szCs w:val="20"/>
          <w:lang w:eastAsia="it-IT"/>
        </w:rPr>
        <w:t>A</w:t>
      </w:r>
      <w:r w:rsidRPr="0070096C">
        <w:rPr>
          <w:rFonts w:ascii="Times New Roman" w:hAnsi="Times New Roman"/>
          <w:color w:val="000000"/>
          <w:sz w:val="20"/>
          <w:szCs w:val="20"/>
          <w:lang w:eastAsia="it-IT"/>
        </w:rPr>
        <w:t>llegato n. 2 Sezione 1 e 2 “Codice Etico e di Comportamento”.</w:t>
      </w:r>
    </w:p>
    <w:p w14:paraId="4EBB7168"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7FA93ED" w14:textId="77777777" w:rsidR="00603F3F" w:rsidRPr="00CD7FBE" w:rsidRDefault="00603F3F" w:rsidP="003E3269">
      <w:pPr>
        <w:pStyle w:val="Titolo3"/>
        <w:keepNext w:val="0"/>
        <w:widowControl w:val="0"/>
        <w:numPr>
          <w:ilvl w:val="1"/>
          <w:numId w:val="31"/>
        </w:numPr>
        <w:spacing w:line="276" w:lineRule="auto"/>
        <w:ind w:left="567" w:hanging="567"/>
        <w:contextualSpacing w:val="0"/>
      </w:pPr>
      <w:bookmarkStart w:id="649" w:name="_Toc454796243"/>
      <w:bookmarkStart w:id="650" w:name="_Toc454796305"/>
      <w:bookmarkStart w:id="651" w:name="_Toc535854457"/>
      <w:r>
        <w:t>L’a</w:t>
      </w:r>
      <w:r w:rsidRPr="00CD7FBE">
        <w:t>ffidamento di lavori, servizi e forniture</w:t>
      </w:r>
      <w:bookmarkEnd w:id="649"/>
      <w:bookmarkEnd w:id="650"/>
      <w:bookmarkEnd w:id="651"/>
    </w:p>
    <w:p w14:paraId="3309A937" w14:textId="64557013"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r w:rsidRPr="00CD7FBE">
        <w:rPr>
          <w:rFonts w:ascii="Times New Roman" w:hAnsi="Times New Roman"/>
          <w:sz w:val="20"/>
          <w:szCs w:val="20"/>
          <w:lang w:eastAsia="it-IT"/>
        </w:rPr>
        <w:t xml:space="preserve">La </w:t>
      </w:r>
      <w:r>
        <w:rPr>
          <w:rFonts w:ascii="Times New Roman" w:hAnsi="Times New Roman"/>
          <w:sz w:val="20"/>
          <w:szCs w:val="20"/>
          <w:lang w:eastAsia="it-IT"/>
        </w:rPr>
        <w:t>società</w:t>
      </w:r>
      <w:r w:rsidRPr="00CD7FBE">
        <w:rPr>
          <w:rFonts w:ascii="Times New Roman" w:hAnsi="Times New Roman"/>
          <w:sz w:val="20"/>
          <w:szCs w:val="20"/>
          <w:lang w:eastAsia="it-IT"/>
        </w:rPr>
        <w:t xml:space="preserve"> si atterrà scrupolosamente alle disposizioni normative. In particolare:</w:t>
      </w:r>
    </w:p>
    <w:p w14:paraId="14AD6CB6" w14:textId="77777777" w:rsidR="00603F3F" w:rsidRPr="00F72F97" w:rsidRDefault="00603F3F" w:rsidP="003E3269">
      <w:pPr>
        <w:widowControl w:val="0"/>
        <w:numPr>
          <w:ilvl w:val="0"/>
          <w:numId w:val="8"/>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pianificazione annuale degli affidamenti al fine di evitare il ricorso agli affidamenti d’urgenza;</w:t>
      </w:r>
    </w:p>
    <w:p w14:paraId="5C3051C4" w14:textId="77777777" w:rsidR="00603F3F" w:rsidRPr="00F72F97" w:rsidRDefault="00603F3F" w:rsidP="003E3269">
      <w:pPr>
        <w:widowControl w:val="0"/>
        <w:numPr>
          <w:ilvl w:val="0"/>
          <w:numId w:val="8"/>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rispetto del divieto di frazionamento;</w:t>
      </w:r>
    </w:p>
    <w:p w14:paraId="44BDA944" w14:textId="77777777" w:rsidR="00603F3F" w:rsidRPr="00F72F97" w:rsidRDefault="00603F3F" w:rsidP="003E3269">
      <w:pPr>
        <w:widowControl w:val="0"/>
        <w:numPr>
          <w:ilvl w:val="0"/>
          <w:numId w:val="8"/>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limitazione degli affidamenti diretti ai soli casi previsti dalla normativa;</w:t>
      </w:r>
    </w:p>
    <w:p w14:paraId="3B13601C" w14:textId="77777777" w:rsidR="00603F3F" w:rsidRPr="00F72F97" w:rsidRDefault="00603F3F" w:rsidP="003E3269">
      <w:pPr>
        <w:widowControl w:val="0"/>
        <w:numPr>
          <w:ilvl w:val="0"/>
          <w:numId w:val="8"/>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monitoraggio delle scadenze contrattuali per evitare il ricorso a proroghe e rinnovi non previsti dalla normativa se non in casi del tutto eccezionali e adeguatamente motivati;</w:t>
      </w:r>
    </w:p>
    <w:p w14:paraId="715AD3CE" w14:textId="77777777" w:rsidR="00603F3F" w:rsidRPr="00F72F97" w:rsidRDefault="00603F3F" w:rsidP="003E3269">
      <w:pPr>
        <w:widowControl w:val="0"/>
        <w:numPr>
          <w:ilvl w:val="0"/>
          <w:numId w:val="8"/>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rispetto del principio della rotazione;</w:t>
      </w:r>
    </w:p>
    <w:p w14:paraId="447C8A89" w14:textId="77777777" w:rsidR="00603F3F" w:rsidRPr="00F72F97" w:rsidRDefault="00603F3F" w:rsidP="003E3269">
      <w:pPr>
        <w:widowControl w:val="0"/>
        <w:numPr>
          <w:ilvl w:val="0"/>
          <w:numId w:val="8"/>
        </w:numPr>
        <w:autoSpaceDE w:val="0"/>
        <w:autoSpaceDN w:val="0"/>
        <w:adjustRightInd w:val="0"/>
        <w:spacing w:after="0"/>
        <w:ind w:left="284" w:hanging="284"/>
        <w:jc w:val="both"/>
        <w:rPr>
          <w:rFonts w:ascii="Times New Roman" w:hAnsi="Times New Roman"/>
          <w:b/>
          <w:i/>
          <w:sz w:val="20"/>
          <w:szCs w:val="20"/>
          <w:lang w:eastAsia="it-IT"/>
        </w:rPr>
      </w:pPr>
      <w:r w:rsidRPr="00F72F97">
        <w:rPr>
          <w:rFonts w:ascii="Times New Roman" w:hAnsi="Times New Roman"/>
          <w:i/>
          <w:sz w:val="20"/>
          <w:szCs w:val="20"/>
          <w:lang w:eastAsia="it-IT"/>
        </w:rPr>
        <w:t>scrupolosa verifica della congruità dei prezzi di beni e servizi effettuati al di fuori del mercato elettronico (Consip);</w:t>
      </w:r>
    </w:p>
    <w:p w14:paraId="78DB779E" w14:textId="77777777" w:rsidR="00603F3F" w:rsidRPr="00F72F97" w:rsidRDefault="00603F3F" w:rsidP="003E3269">
      <w:pPr>
        <w:widowControl w:val="0"/>
        <w:numPr>
          <w:ilvl w:val="0"/>
          <w:numId w:val="8"/>
        </w:numPr>
        <w:spacing w:after="0"/>
        <w:ind w:left="284" w:hanging="284"/>
        <w:jc w:val="both"/>
        <w:rPr>
          <w:rFonts w:ascii="Times New Roman" w:hAnsi="Times New Roman"/>
          <w:i/>
          <w:sz w:val="20"/>
          <w:szCs w:val="20"/>
          <w:lang w:eastAsia="it-IT"/>
        </w:rPr>
      </w:pPr>
      <w:r w:rsidRPr="00F72F97">
        <w:rPr>
          <w:rFonts w:ascii="Times New Roman" w:hAnsi="Times New Roman"/>
          <w:i/>
          <w:sz w:val="20"/>
          <w:szCs w:val="20"/>
          <w:lang w:eastAsia="it-IT"/>
        </w:rPr>
        <w:t>scrupolosa vigilanza sulla corretta esecuzione dei contratti, in modo da poter formulare ogni contestazione nei casi di inadempienze e poter richiedere l’applicazione di penali o l’eventuale risoluzione del contratto</w:t>
      </w:r>
    </w:p>
    <w:p w14:paraId="1688DE0A" w14:textId="77777777" w:rsidR="00603F3F" w:rsidRPr="00CD7FBE" w:rsidRDefault="00603F3F" w:rsidP="00603F3F">
      <w:pPr>
        <w:widowControl w:val="0"/>
        <w:spacing w:after="0"/>
        <w:jc w:val="both"/>
        <w:rPr>
          <w:rFonts w:ascii="Times New Roman" w:hAnsi="Times New Roman"/>
          <w:sz w:val="20"/>
          <w:szCs w:val="20"/>
        </w:rPr>
      </w:pPr>
    </w:p>
    <w:p w14:paraId="1BBAE001" w14:textId="1F1CBE43"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 xml:space="preserve">La </w:t>
      </w:r>
      <w:r>
        <w:rPr>
          <w:rFonts w:ascii="Times New Roman" w:hAnsi="Times New Roman"/>
          <w:color w:val="000000"/>
          <w:sz w:val="20"/>
          <w:szCs w:val="20"/>
        </w:rPr>
        <w:t>società</w:t>
      </w:r>
      <w:r w:rsidRPr="00CD7FBE">
        <w:rPr>
          <w:rFonts w:ascii="Times New Roman" w:hAnsi="Times New Roman"/>
          <w:color w:val="000000"/>
          <w:sz w:val="20"/>
          <w:szCs w:val="20"/>
        </w:rPr>
        <w:t xml:space="preserve"> </w:t>
      </w:r>
      <w:r>
        <w:rPr>
          <w:rFonts w:ascii="Times New Roman" w:hAnsi="Times New Roman"/>
          <w:color w:val="000000"/>
          <w:sz w:val="20"/>
          <w:szCs w:val="20"/>
        </w:rPr>
        <w:t xml:space="preserve">ha </w:t>
      </w:r>
      <w:r w:rsidRPr="00CD7FBE">
        <w:rPr>
          <w:rFonts w:ascii="Times New Roman" w:hAnsi="Times New Roman"/>
          <w:color w:val="000000"/>
          <w:sz w:val="20"/>
          <w:szCs w:val="20"/>
        </w:rPr>
        <w:t>adott</w:t>
      </w:r>
      <w:r>
        <w:rPr>
          <w:rFonts w:ascii="Times New Roman" w:hAnsi="Times New Roman"/>
          <w:color w:val="000000"/>
          <w:sz w:val="20"/>
          <w:szCs w:val="20"/>
        </w:rPr>
        <w:t xml:space="preserve">ato </w:t>
      </w:r>
      <w:r w:rsidRPr="00CD7FBE">
        <w:rPr>
          <w:rFonts w:ascii="Times New Roman" w:hAnsi="Times New Roman"/>
          <w:color w:val="000000"/>
          <w:sz w:val="20"/>
          <w:szCs w:val="20"/>
        </w:rPr>
        <w:t>specific</w:t>
      </w:r>
      <w:r>
        <w:rPr>
          <w:rFonts w:ascii="Times New Roman" w:hAnsi="Times New Roman"/>
          <w:color w:val="000000"/>
          <w:sz w:val="20"/>
          <w:szCs w:val="20"/>
        </w:rPr>
        <w:t>o</w:t>
      </w:r>
      <w:r w:rsidRPr="00CD7FBE">
        <w:rPr>
          <w:rFonts w:ascii="Times New Roman" w:hAnsi="Times New Roman"/>
          <w:color w:val="000000"/>
          <w:sz w:val="20"/>
          <w:szCs w:val="20"/>
        </w:rPr>
        <w:t xml:space="preserve"> regolament</w:t>
      </w:r>
      <w:r>
        <w:rPr>
          <w:rFonts w:ascii="Times New Roman" w:hAnsi="Times New Roman"/>
          <w:color w:val="000000"/>
          <w:sz w:val="20"/>
          <w:szCs w:val="20"/>
        </w:rPr>
        <w:t>o</w:t>
      </w:r>
      <w:r w:rsidRPr="00CD7FBE">
        <w:rPr>
          <w:rFonts w:ascii="Times New Roman" w:hAnsi="Times New Roman"/>
          <w:color w:val="000000"/>
          <w:sz w:val="20"/>
          <w:szCs w:val="20"/>
        </w:rPr>
        <w:t xml:space="preserve"> per la costituzione e gestione dell’Albo Fornitori, per lo svolgimento delle ricerche di mercato e per gli affidamenti degli incarichi a titolo oneroso compresi quelli legali.</w:t>
      </w:r>
      <w:r>
        <w:rPr>
          <w:rFonts w:ascii="Times New Roman" w:hAnsi="Times New Roman"/>
          <w:color w:val="000000"/>
          <w:sz w:val="20"/>
          <w:szCs w:val="20"/>
        </w:rPr>
        <w:t xml:space="preserve"> </w:t>
      </w:r>
    </w:p>
    <w:p w14:paraId="6B304CF2" w14:textId="037AB86A" w:rsidR="00603F3F" w:rsidRPr="00CD7FBE" w:rsidRDefault="00603F3F" w:rsidP="00603F3F">
      <w:pPr>
        <w:widowControl w:val="0"/>
        <w:autoSpaceDE w:val="0"/>
        <w:autoSpaceDN w:val="0"/>
        <w:adjustRightInd w:val="0"/>
        <w:spacing w:after="0"/>
        <w:jc w:val="both"/>
        <w:rPr>
          <w:rFonts w:ascii="Times New Roman" w:hAnsi="Times New Roman"/>
          <w:sz w:val="20"/>
          <w:szCs w:val="20"/>
        </w:rPr>
      </w:pPr>
    </w:p>
    <w:p w14:paraId="3704BDCD"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Per quanto concerne i processi di affidamento, in coerenza con le indicazioni a tal proposito contenute nell’aggiornamento del P.N.A. per l’anno 2015</w:t>
      </w:r>
      <w:r w:rsidRPr="00CD7FBE">
        <w:rPr>
          <w:rStyle w:val="Rimandonotadichiusura"/>
          <w:rFonts w:ascii="Times New Roman" w:hAnsi="Times New Roman"/>
          <w:color w:val="000000"/>
          <w:sz w:val="20"/>
          <w:szCs w:val="20"/>
        </w:rPr>
        <w:endnoteReference w:id="64"/>
      </w:r>
      <w:r w:rsidRPr="00CD7FBE">
        <w:rPr>
          <w:rFonts w:ascii="Times New Roman" w:hAnsi="Times New Roman"/>
          <w:color w:val="000000"/>
          <w:sz w:val="20"/>
          <w:szCs w:val="20"/>
        </w:rPr>
        <w:t>, si evidenzia, in relazione alle diverse fasi che li caratterizzano, l’esigenza di porre in essere, tra gli altri, i seguenti adempimenti:</w:t>
      </w:r>
    </w:p>
    <w:p w14:paraId="4BF22BE0" w14:textId="77777777" w:rsidR="00603F3F" w:rsidRPr="0098717B" w:rsidRDefault="00603F3F" w:rsidP="00603F3F">
      <w:pPr>
        <w:pStyle w:val="Titolo5"/>
        <w:keepNext w:val="0"/>
        <w:keepLines w:val="0"/>
        <w:widowControl w:val="0"/>
        <w:spacing w:before="0" w:line="276" w:lineRule="auto"/>
        <w:ind w:left="284" w:hanging="284"/>
        <w:rPr>
          <w:rFonts w:ascii="Times New Roman" w:hAnsi="Times New Roman"/>
          <w:bCs/>
          <w:color w:val="000000"/>
          <w:szCs w:val="20"/>
        </w:rPr>
      </w:pPr>
      <w:bookmarkStart w:id="652" w:name="_Toc471969798"/>
      <w:bookmarkStart w:id="653" w:name="_Toc535854458"/>
      <w:r w:rsidRPr="0098717B">
        <w:rPr>
          <w:rFonts w:ascii="Times New Roman" w:eastAsia="Times New Roman" w:hAnsi="Times New Roman" w:cs="Times New Roman"/>
          <w:b/>
          <w:color w:val="000000"/>
          <w:sz w:val="20"/>
          <w:szCs w:val="20"/>
        </w:rPr>
        <w:t xml:space="preserve">a) </w:t>
      </w:r>
      <w:r>
        <w:rPr>
          <w:rFonts w:ascii="Times New Roman" w:eastAsia="Times New Roman" w:hAnsi="Times New Roman" w:cs="Times New Roman"/>
          <w:b/>
          <w:color w:val="000000"/>
          <w:sz w:val="20"/>
          <w:szCs w:val="20"/>
        </w:rPr>
        <w:tab/>
        <w:t>La p</w:t>
      </w:r>
      <w:r w:rsidRPr="0098717B">
        <w:rPr>
          <w:rFonts w:ascii="Times New Roman" w:eastAsia="Times New Roman" w:hAnsi="Times New Roman" w:cs="Times New Roman"/>
          <w:b/>
          <w:color w:val="000000"/>
          <w:sz w:val="20"/>
          <w:szCs w:val="20"/>
        </w:rPr>
        <w:t>rogrammazione</w:t>
      </w:r>
      <w:bookmarkEnd w:id="652"/>
      <w:bookmarkEnd w:id="653"/>
    </w:p>
    <w:p w14:paraId="248A1861" w14:textId="77777777" w:rsidR="00603F3F" w:rsidRPr="00CD7FBE"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Nella</w:t>
      </w:r>
      <w:r w:rsidRPr="00CD7FBE">
        <w:rPr>
          <w:rFonts w:ascii="Times New Roman" w:hAnsi="Times New Roman"/>
          <w:color w:val="000000"/>
          <w:sz w:val="20"/>
          <w:szCs w:val="20"/>
        </w:rPr>
        <w:t xml:space="preserve"> fase della programmazione relativa agli acquisti di beni e servizi - partendo dal monitoraggio, a cura del competente RUP, della scadenza dei contratti di appalto in essere al fine di evitare il ricorso a proroghe o al rinnovo degli stessi - dovrà essere prestata “</w:t>
      </w:r>
      <w:r w:rsidRPr="00CD7FBE">
        <w:rPr>
          <w:rFonts w:ascii="Times New Roman" w:hAnsi="Times New Roman"/>
          <w:i/>
          <w:iCs/>
          <w:color w:val="000000"/>
          <w:sz w:val="20"/>
          <w:szCs w:val="20"/>
        </w:rPr>
        <w:t>particolare attenzione ai processi di analisi e definizione dei fabbisogni</w:t>
      </w:r>
      <w:r w:rsidRPr="00CD7FBE">
        <w:rPr>
          <w:rFonts w:ascii="Times New Roman" w:hAnsi="Times New Roman"/>
          <w:color w:val="000000"/>
          <w:sz w:val="20"/>
          <w:szCs w:val="20"/>
        </w:rPr>
        <w:t>”, in modo da evitare l’insorgenza di urgenze.</w:t>
      </w:r>
    </w:p>
    <w:p w14:paraId="60D5F935" w14:textId="0525D95B" w:rsidR="00603F3F" w:rsidRPr="00CD7FBE"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sidRPr="00CD7FBE">
        <w:rPr>
          <w:rFonts w:ascii="Times New Roman" w:hAnsi="Times New Roman"/>
          <w:color w:val="000000"/>
          <w:sz w:val="20"/>
          <w:szCs w:val="20"/>
        </w:rPr>
        <w:t>In tale ottica, ciascuna struttura che preveda di dover effettuare delle acquisizioni di beni e servizi nel corso dell’anno successivo dovrà darne indicazione - unitamente a tutte le informazioni correlate - in un documento da inviare annualmente, entro il 30 settembre, al Direttore della relativa Direzione il quale, dopo averle vagliate, acquisisce le valutazioni di compete</w:t>
      </w:r>
      <w:r w:rsidR="003C4EAD">
        <w:rPr>
          <w:rFonts w:ascii="Times New Roman" w:hAnsi="Times New Roman"/>
          <w:color w:val="000000"/>
          <w:sz w:val="20"/>
          <w:szCs w:val="20"/>
        </w:rPr>
        <w:t>nza da parte del Direttore del Settore Amministrativo</w:t>
      </w:r>
      <w:r w:rsidRPr="00CD7FBE">
        <w:rPr>
          <w:rFonts w:ascii="Times New Roman" w:hAnsi="Times New Roman"/>
          <w:color w:val="000000"/>
          <w:sz w:val="20"/>
          <w:szCs w:val="20"/>
        </w:rPr>
        <w:t>, provvede a redigere, entro il 15 ottobre, una proposta di programma annuale da sottoporre all’esame dell’Organo Amministrativo.</w:t>
      </w:r>
    </w:p>
    <w:p w14:paraId="0BC65A65" w14:textId="77777777" w:rsidR="00603F3F" w:rsidRPr="0098717B" w:rsidRDefault="00603F3F" w:rsidP="00603F3F">
      <w:pPr>
        <w:pStyle w:val="Titolo5"/>
        <w:keepNext w:val="0"/>
        <w:keepLines w:val="0"/>
        <w:widowControl w:val="0"/>
        <w:spacing w:before="0" w:line="276" w:lineRule="auto"/>
        <w:ind w:left="284" w:hanging="284"/>
        <w:rPr>
          <w:rFonts w:ascii="Times New Roman" w:hAnsi="Times New Roman"/>
          <w:bCs/>
          <w:color w:val="000000"/>
          <w:szCs w:val="20"/>
        </w:rPr>
      </w:pPr>
      <w:bookmarkStart w:id="654" w:name="_Toc471969799"/>
      <w:bookmarkStart w:id="655" w:name="_Toc535854459"/>
      <w:r w:rsidRPr="0098717B">
        <w:rPr>
          <w:rFonts w:ascii="Times New Roman" w:eastAsia="Times New Roman" w:hAnsi="Times New Roman" w:cs="Times New Roman"/>
          <w:b/>
          <w:color w:val="000000"/>
          <w:sz w:val="20"/>
          <w:szCs w:val="20"/>
        </w:rPr>
        <w:t xml:space="preserve">b) </w:t>
      </w:r>
      <w:r>
        <w:rPr>
          <w:rFonts w:ascii="Times New Roman" w:eastAsia="Times New Roman" w:hAnsi="Times New Roman" w:cs="Times New Roman"/>
          <w:b/>
          <w:color w:val="000000"/>
          <w:sz w:val="20"/>
          <w:szCs w:val="20"/>
        </w:rPr>
        <w:tab/>
        <w:t>La p</w:t>
      </w:r>
      <w:r w:rsidRPr="0098717B">
        <w:rPr>
          <w:rFonts w:ascii="Times New Roman" w:eastAsia="Times New Roman" w:hAnsi="Times New Roman" w:cs="Times New Roman"/>
          <w:b/>
          <w:color w:val="000000"/>
          <w:sz w:val="20"/>
          <w:szCs w:val="20"/>
        </w:rPr>
        <w:t>rogettazione</w:t>
      </w:r>
      <w:bookmarkEnd w:id="654"/>
      <w:bookmarkEnd w:id="655"/>
    </w:p>
    <w:p w14:paraId="53869CFF" w14:textId="3CD65878" w:rsidR="00603F3F"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 xml:space="preserve">Nella fase di progettazione </w:t>
      </w:r>
      <w:r w:rsidRPr="00CD7FBE">
        <w:rPr>
          <w:rFonts w:ascii="Times New Roman" w:hAnsi="Times New Roman"/>
          <w:color w:val="000000"/>
          <w:sz w:val="20"/>
          <w:szCs w:val="20"/>
        </w:rPr>
        <w:t>rientrano, in particolare, i sottoprocessi relativi all’analisi di mercato (propedeutica anche per l’individuazione dei contenuti tecnici e la predisposizione del capitolato e dei documenti di gara), alla nomina del R.U.P., alla determinazione a contrarre (con l’individuazione, tra l’altro, della procedura di scelta del contraente, del criterio di aggiudicazione - offerta economicamente più vantaggiosa o prezzo più basso - e dei criteri per l’attribuzione del punteggio), alla determinazione dell’importo contrattuale, alla definizione dei requisiti per la partecipazione alla gara e all’approvazione dello schema di contratto. Tra le diverse misure ritenute necessarie per gestire i suddetti sottoprocessi a rischio, si evidenziano, tra le altre</w:t>
      </w:r>
      <w:r w:rsidRPr="00CD7FBE">
        <w:rPr>
          <w:rStyle w:val="Rimandonotadichiusura"/>
          <w:rFonts w:ascii="Times New Roman" w:hAnsi="Times New Roman"/>
          <w:color w:val="000000"/>
          <w:sz w:val="24"/>
          <w:szCs w:val="24"/>
        </w:rPr>
        <w:endnoteReference w:id="65"/>
      </w:r>
      <w:r w:rsidRPr="00CD7FBE">
        <w:rPr>
          <w:rFonts w:ascii="Times New Roman" w:hAnsi="Times New Roman"/>
          <w:color w:val="000000"/>
          <w:sz w:val="20"/>
          <w:szCs w:val="20"/>
        </w:rPr>
        <w:t>, quella del rispetto del divieto di frazionamento dell’importo contrattuale, nonché l’utilizzazione di modelli contrattuali e provvedimentali. Con specifico riferimento alle acquisizioni di beni e servizi di importo inferiore alla soglia di rilievo comunitario, si ritiene opportuno evidenziare che, ai sensi dell’articolo 1, comma 450 della legge 27 dicembre 2006, n. 296 (legge finanziaria 2007), le pubbliche amministrazioni diverse da quelle centrali e periferiche dello Stato “</w:t>
      </w:r>
      <w:r w:rsidRPr="0098717B">
        <w:rPr>
          <w:rFonts w:ascii="Times New Roman" w:hAnsi="Times New Roman"/>
          <w:i/>
          <w:color w:val="000000"/>
          <w:sz w:val="20"/>
          <w:szCs w:val="20"/>
        </w:rPr>
        <w:t>sono tenute a fare ricorso al mercato elettronico della pubblica amministrazione ovvero ad altri mercati elettronici ……. ovvero al sistema telematico messo a disposizione dalla centrale regionale di riferimento per lo svolgimento delle relative procedure….</w:t>
      </w:r>
      <w:r w:rsidRPr="00CD7FBE">
        <w:rPr>
          <w:rFonts w:ascii="Times New Roman" w:hAnsi="Times New Roman"/>
          <w:color w:val="000000"/>
          <w:sz w:val="20"/>
          <w:szCs w:val="20"/>
        </w:rPr>
        <w:t>”. Pertanto, nell’eventualità di acquisizione di beni e servizi per un importo inferiore alla soglia di rilievo comunitario che non possa avvenire tramite i menzionati mercati elettronici o sistemi telematici, il relativo provvedimento dovrà puntualmente dar conto dei motivi che hanno impedito di seguire tale procedura;</w:t>
      </w:r>
    </w:p>
    <w:p w14:paraId="060CD527" w14:textId="77777777" w:rsidR="00D576B0" w:rsidRPr="00CD7FBE" w:rsidRDefault="00D576B0" w:rsidP="00603F3F">
      <w:pPr>
        <w:widowControl w:val="0"/>
        <w:autoSpaceDE w:val="0"/>
        <w:autoSpaceDN w:val="0"/>
        <w:adjustRightInd w:val="0"/>
        <w:spacing w:after="0"/>
        <w:ind w:left="284"/>
        <w:jc w:val="both"/>
        <w:rPr>
          <w:rFonts w:ascii="Times New Roman" w:hAnsi="Times New Roman"/>
          <w:color w:val="000000"/>
          <w:sz w:val="20"/>
          <w:szCs w:val="20"/>
        </w:rPr>
      </w:pPr>
    </w:p>
    <w:p w14:paraId="6E41C756" w14:textId="77777777" w:rsidR="00603F3F" w:rsidRPr="0098717B" w:rsidRDefault="00603F3F" w:rsidP="00603F3F">
      <w:pPr>
        <w:pStyle w:val="Titolo5"/>
        <w:keepNext w:val="0"/>
        <w:keepLines w:val="0"/>
        <w:widowControl w:val="0"/>
        <w:spacing w:before="0" w:line="276" w:lineRule="auto"/>
        <w:ind w:left="284" w:hanging="284"/>
        <w:rPr>
          <w:rFonts w:ascii="Times New Roman" w:eastAsia="Times New Roman" w:hAnsi="Times New Roman" w:cs="Times New Roman"/>
          <w:b/>
          <w:color w:val="000000"/>
          <w:sz w:val="20"/>
          <w:szCs w:val="20"/>
        </w:rPr>
      </w:pPr>
      <w:bookmarkStart w:id="656" w:name="_Toc471969800"/>
      <w:bookmarkStart w:id="657" w:name="_Toc535854460"/>
      <w:r w:rsidRPr="0098717B">
        <w:rPr>
          <w:rFonts w:ascii="Times New Roman" w:eastAsia="Times New Roman" w:hAnsi="Times New Roman" w:cs="Times New Roman"/>
          <w:b/>
          <w:color w:val="000000"/>
          <w:sz w:val="20"/>
          <w:szCs w:val="20"/>
        </w:rPr>
        <w:t xml:space="preserve">c) </w:t>
      </w:r>
      <w:r>
        <w:rPr>
          <w:rFonts w:ascii="Times New Roman" w:eastAsia="Times New Roman" w:hAnsi="Times New Roman" w:cs="Times New Roman"/>
          <w:b/>
          <w:color w:val="000000"/>
          <w:sz w:val="20"/>
          <w:szCs w:val="20"/>
        </w:rPr>
        <w:tab/>
        <w:t>La s</w:t>
      </w:r>
      <w:r w:rsidRPr="0098717B">
        <w:rPr>
          <w:rFonts w:ascii="Times New Roman" w:eastAsia="Times New Roman" w:hAnsi="Times New Roman" w:cs="Times New Roman"/>
          <w:b/>
          <w:color w:val="000000"/>
          <w:sz w:val="20"/>
          <w:szCs w:val="20"/>
        </w:rPr>
        <w:t>elezione del contraente</w:t>
      </w:r>
      <w:bookmarkEnd w:id="656"/>
      <w:bookmarkEnd w:id="657"/>
    </w:p>
    <w:p w14:paraId="191AC390" w14:textId="1DAB3EF3" w:rsidR="00603F3F" w:rsidRDefault="00603F3F" w:rsidP="002A7570">
      <w:pPr>
        <w:widowControl w:val="0"/>
        <w:spacing w:after="0"/>
        <w:ind w:left="284"/>
        <w:jc w:val="both"/>
        <w:rPr>
          <w:rFonts w:ascii="Times New Roman" w:eastAsia="Times New Roman" w:hAnsi="Times New Roman"/>
          <w:b/>
          <w:color w:val="000000"/>
          <w:sz w:val="20"/>
          <w:szCs w:val="20"/>
        </w:rPr>
      </w:pPr>
      <w:r>
        <w:rPr>
          <w:rFonts w:ascii="Times New Roman" w:hAnsi="Times New Roman"/>
          <w:color w:val="000000"/>
          <w:sz w:val="20"/>
          <w:szCs w:val="20"/>
        </w:rPr>
        <w:t xml:space="preserve">Alla fase </w:t>
      </w:r>
      <w:r w:rsidRPr="0098717B">
        <w:rPr>
          <w:rFonts w:ascii="Times New Roman" w:hAnsi="Times New Roman"/>
          <w:color w:val="000000"/>
          <w:sz w:val="20"/>
          <w:szCs w:val="20"/>
        </w:rPr>
        <w:t>di selezione del contraente</w:t>
      </w:r>
      <w:r w:rsidRPr="00CD7FBE">
        <w:rPr>
          <w:rFonts w:ascii="Times New Roman" w:hAnsi="Times New Roman"/>
          <w:color w:val="000000"/>
          <w:sz w:val="20"/>
          <w:szCs w:val="20"/>
        </w:rPr>
        <w:t xml:space="preserve"> </w:t>
      </w:r>
      <w:r>
        <w:rPr>
          <w:rFonts w:ascii="Times New Roman" w:hAnsi="Times New Roman"/>
          <w:color w:val="000000"/>
          <w:sz w:val="20"/>
          <w:szCs w:val="20"/>
        </w:rPr>
        <w:t>sono ascrivibili i</w:t>
      </w:r>
      <w:r w:rsidRPr="00CD7FBE">
        <w:rPr>
          <w:rFonts w:ascii="Times New Roman" w:hAnsi="Times New Roman"/>
          <w:color w:val="000000"/>
          <w:sz w:val="20"/>
          <w:szCs w:val="20"/>
        </w:rPr>
        <w:t xml:space="preserve"> sottoprocessi </w:t>
      </w:r>
      <w:r>
        <w:rPr>
          <w:rFonts w:ascii="Times New Roman" w:hAnsi="Times New Roman"/>
          <w:color w:val="000000"/>
          <w:sz w:val="20"/>
          <w:szCs w:val="20"/>
        </w:rPr>
        <w:t>relativi</w:t>
      </w:r>
      <w:r w:rsidRPr="00CD7FBE">
        <w:rPr>
          <w:rFonts w:ascii="Times New Roman" w:hAnsi="Times New Roman"/>
          <w:color w:val="000000"/>
          <w:sz w:val="20"/>
          <w:szCs w:val="20"/>
        </w:rPr>
        <w:t xml:space="preserve"> alla pubblicazione del bando, alla fissazione del termine per la presentazione delle offerte, al trattamento e alla custodia dei documenti attinenti la gara, alla nomina della commissione di gara, alla verifica dei requisiti di partecipazione, alla gestione delle sedute di gara, alla valutazione delle offerte e verifica di eventuali anomalie, all’aggiudicazione provvisoria, all’eventuale annullamento o revoca della gara. Tra le misure da adottare, per quanto concerne le procedure negoziate, si evidenzia la necessità del più scrupoloso rispetto del principio di rotazione degli operatori economici, evitando in tal modo anche il consolidamento di rapporti solo con alcuni di essi</w:t>
      </w:r>
      <w:r w:rsidRPr="00CD7FBE">
        <w:rPr>
          <w:rStyle w:val="Rimandonotadichiusura"/>
          <w:rFonts w:ascii="Times New Roman" w:hAnsi="Times New Roman"/>
          <w:color w:val="000000"/>
          <w:sz w:val="20"/>
          <w:szCs w:val="20"/>
        </w:rPr>
        <w:endnoteReference w:id="66"/>
      </w:r>
      <w:r w:rsidRPr="00CD7FBE">
        <w:rPr>
          <w:rFonts w:ascii="Times New Roman" w:hAnsi="Times New Roman"/>
          <w:color w:val="000000"/>
          <w:sz w:val="20"/>
          <w:szCs w:val="20"/>
        </w:rPr>
        <w:t>;</w:t>
      </w:r>
      <w:bookmarkStart w:id="658" w:name="_Toc471969801"/>
    </w:p>
    <w:p w14:paraId="477F8754" w14:textId="0B55FB27" w:rsidR="00603F3F" w:rsidRPr="0098717B" w:rsidRDefault="00603F3F" w:rsidP="00603F3F">
      <w:pPr>
        <w:pStyle w:val="Titolo5"/>
        <w:keepNext w:val="0"/>
        <w:keepLines w:val="0"/>
        <w:widowControl w:val="0"/>
        <w:spacing w:before="0" w:line="276" w:lineRule="auto"/>
        <w:ind w:left="284" w:hanging="284"/>
        <w:rPr>
          <w:rFonts w:ascii="Times New Roman" w:eastAsia="Times New Roman" w:hAnsi="Times New Roman" w:cs="Times New Roman"/>
          <w:b/>
          <w:color w:val="000000"/>
          <w:sz w:val="20"/>
          <w:szCs w:val="20"/>
        </w:rPr>
      </w:pPr>
      <w:bookmarkStart w:id="659" w:name="_Toc535854461"/>
      <w:r w:rsidRPr="0098717B">
        <w:rPr>
          <w:rFonts w:ascii="Times New Roman" w:eastAsia="Times New Roman" w:hAnsi="Times New Roman" w:cs="Times New Roman"/>
          <w:b/>
          <w:color w:val="000000"/>
          <w:sz w:val="20"/>
          <w:szCs w:val="20"/>
        </w:rPr>
        <w:t xml:space="preserve">d) </w:t>
      </w:r>
      <w:r>
        <w:rPr>
          <w:rFonts w:ascii="Times New Roman" w:eastAsia="Times New Roman" w:hAnsi="Times New Roman" w:cs="Times New Roman"/>
          <w:b/>
          <w:color w:val="000000"/>
          <w:sz w:val="20"/>
          <w:szCs w:val="20"/>
        </w:rPr>
        <w:tab/>
        <w:t>La v</w:t>
      </w:r>
      <w:r w:rsidRPr="0098717B">
        <w:rPr>
          <w:rFonts w:ascii="Times New Roman" w:eastAsia="Times New Roman" w:hAnsi="Times New Roman" w:cs="Times New Roman"/>
          <w:b/>
          <w:color w:val="000000"/>
          <w:sz w:val="20"/>
          <w:szCs w:val="20"/>
        </w:rPr>
        <w:t>erifica dell’aggiudicazione e stipula del contratto</w:t>
      </w:r>
      <w:bookmarkEnd w:id="658"/>
      <w:bookmarkEnd w:id="659"/>
    </w:p>
    <w:p w14:paraId="02778A92" w14:textId="256CBA48" w:rsidR="00603F3F"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 xml:space="preserve">Alla </w:t>
      </w:r>
      <w:r w:rsidRPr="0098717B">
        <w:rPr>
          <w:rFonts w:ascii="Times New Roman" w:hAnsi="Times New Roman"/>
          <w:color w:val="000000"/>
          <w:sz w:val="20"/>
          <w:szCs w:val="20"/>
        </w:rPr>
        <w:t>fase di verifica dell’aggiudicazione e stipula del contratto</w:t>
      </w:r>
      <w:r w:rsidRPr="00CD7FBE">
        <w:rPr>
          <w:rFonts w:ascii="Times New Roman" w:hAnsi="Times New Roman"/>
          <w:color w:val="000000"/>
          <w:sz w:val="20"/>
          <w:szCs w:val="20"/>
        </w:rPr>
        <w:t xml:space="preserve"> </w:t>
      </w:r>
      <w:r>
        <w:rPr>
          <w:rFonts w:ascii="Times New Roman" w:hAnsi="Times New Roman"/>
          <w:color w:val="000000"/>
          <w:sz w:val="20"/>
          <w:szCs w:val="20"/>
        </w:rPr>
        <w:t>a</w:t>
      </w:r>
      <w:r w:rsidRPr="00CD7FBE">
        <w:rPr>
          <w:rFonts w:ascii="Times New Roman" w:hAnsi="Times New Roman"/>
          <w:color w:val="000000"/>
          <w:sz w:val="20"/>
          <w:szCs w:val="20"/>
        </w:rPr>
        <w:t>ttengono, in particolare, la verifica dei requisiti generali e speciali di partecipazione in capo all’aggiudicatario ai fini della stipula del contratto, l’effettuazione delle comunicazioni riguardanti i mancati inviti e le esclusioni, la formalizzazione dell’aggiudicazione definitiva e la stipula del contratto</w:t>
      </w:r>
      <w:r w:rsidRPr="00CD7FBE">
        <w:rPr>
          <w:rStyle w:val="Rimandonotadichiusura"/>
          <w:rFonts w:ascii="Times New Roman" w:hAnsi="Times New Roman"/>
          <w:color w:val="000000"/>
          <w:sz w:val="20"/>
          <w:szCs w:val="20"/>
        </w:rPr>
        <w:endnoteReference w:id="67"/>
      </w:r>
      <w:r w:rsidRPr="00CD7FBE">
        <w:rPr>
          <w:rFonts w:ascii="Times New Roman" w:hAnsi="Times New Roman"/>
          <w:color w:val="000000"/>
          <w:sz w:val="20"/>
          <w:szCs w:val="20"/>
        </w:rPr>
        <w:t>;</w:t>
      </w:r>
    </w:p>
    <w:p w14:paraId="573326A2" w14:textId="77777777" w:rsidR="002A7570" w:rsidRPr="00CD7FBE" w:rsidRDefault="002A7570" w:rsidP="00603F3F">
      <w:pPr>
        <w:widowControl w:val="0"/>
        <w:autoSpaceDE w:val="0"/>
        <w:autoSpaceDN w:val="0"/>
        <w:adjustRightInd w:val="0"/>
        <w:spacing w:after="0"/>
        <w:ind w:left="284"/>
        <w:jc w:val="both"/>
        <w:rPr>
          <w:rFonts w:ascii="Times New Roman" w:hAnsi="Times New Roman"/>
          <w:color w:val="000000"/>
          <w:sz w:val="20"/>
          <w:szCs w:val="20"/>
        </w:rPr>
      </w:pPr>
    </w:p>
    <w:p w14:paraId="3F0BA97A" w14:textId="77777777" w:rsidR="00603F3F" w:rsidRPr="0098717B" w:rsidRDefault="00603F3F" w:rsidP="00603F3F">
      <w:pPr>
        <w:pStyle w:val="Titolo5"/>
        <w:keepNext w:val="0"/>
        <w:keepLines w:val="0"/>
        <w:widowControl w:val="0"/>
        <w:spacing w:before="0" w:line="276" w:lineRule="auto"/>
        <w:ind w:left="284" w:hanging="284"/>
        <w:jc w:val="both"/>
        <w:rPr>
          <w:rFonts w:ascii="Times New Roman" w:eastAsia="Times New Roman" w:hAnsi="Times New Roman" w:cs="Times New Roman"/>
          <w:b/>
          <w:color w:val="000000"/>
          <w:sz w:val="20"/>
          <w:szCs w:val="20"/>
        </w:rPr>
      </w:pPr>
      <w:bookmarkStart w:id="660" w:name="_Toc471969802"/>
      <w:bookmarkStart w:id="661" w:name="_Toc535854462"/>
      <w:r w:rsidRPr="0098717B">
        <w:rPr>
          <w:rFonts w:ascii="Times New Roman" w:eastAsia="Times New Roman" w:hAnsi="Times New Roman" w:cs="Times New Roman"/>
          <w:b/>
          <w:color w:val="000000"/>
          <w:sz w:val="20"/>
          <w:szCs w:val="20"/>
        </w:rPr>
        <w:t xml:space="preserve">e) </w:t>
      </w:r>
      <w:r>
        <w:rPr>
          <w:rFonts w:ascii="Times New Roman" w:eastAsia="Times New Roman" w:hAnsi="Times New Roman" w:cs="Times New Roman"/>
          <w:b/>
          <w:color w:val="000000"/>
          <w:sz w:val="20"/>
          <w:szCs w:val="20"/>
        </w:rPr>
        <w:tab/>
        <w:t>L’e</w:t>
      </w:r>
      <w:r w:rsidRPr="0098717B">
        <w:rPr>
          <w:rFonts w:ascii="Times New Roman" w:eastAsia="Times New Roman" w:hAnsi="Times New Roman" w:cs="Times New Roman"/>
          <w:b/>
          <w:color w:val="000000"/>
          <w:sz w:val="20"/>
          <w:szCs w:val="20"/>
        </w:rPr>
        <w:t>secuzione del contratto</w:t>
      </w:r>
      <w:bookmarkEnd w:id="660"/>
      <w:bookmarkEnd w:id="661"/>
    </w:p>
    <w:p w14:paraId="3D718E21" w14:textId="77777777" w:rsidR="00603F3F" w:rsidRPr="00CD7FBE"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A</w:t>
      </w:r>
      <w:r w:rsidRPr="00CD7FBE">
        <w:rPr>
          <w:rFonts w:ascii="Times New Roman" w:hAnsi="Times New Roman"/>
          <w:color w:val="000000"/>
          <w:sz w:val="20"/>
          <w:szCs w:val="20"/>
        </w:rPr>
        <w:t>i fini dei rischi corruttivi</w:t>
      </w:r>
      <w:r>
        <w:rPr>
          <w:rFonts w:ascii="Times New Roman" w:hAnsi="Times New Roman"/>
          <w:color w:val="000000"/>
          <w:sz w:val="20"/>
          <w:szCs w:val="20"/>
        </w:rPr>
        <w:t xml:space="preserve">, nella </w:t>
      </w:r>
      <w:r w:rsidRPr="0098717B">
        <w:rPr>
          <w:rFonts w:ascii="Times New Roman" w:hAnsi="Times New Roman"/>
          <w:color w:val="000000"/>
          <w:sz w:val="20"/>
          <w:szCs w:val="20"/>
        </w:rPr>
        <w:t>fase di esecuzione del contratto,</w:t>
      </w:r>
      <w:r w:rsidRPr="00CD7FBE">
        <w:rPr>
          <w:rFonts w:ascii="Times New Roman" w:hAnsi="Times New Roman"/>
          <w:color w:val="000000"/>
          <w:sz w:val="20"/>
          <w:szCs w:val="20"/>
        </w:rPr>
        <w:t xml:space="preserve"> rilevano particolarmente le eventuali modifiche del contratto originario, l’autorizzazione dell’affidamento in subappalto o in cottimo, l’ammissione delle varianti, la verifica delle disposizioni in materia di sicurezza, con particolare riferimento al rispetto delle prescrizioni contenute nel Piano di Sicurezza e Coordinamento (PSC) o al Documento Unico di Valutazione dei Rischi Interferenziali (DUVRI), la verifica della corretta esecuzione dei contratti e i conseguenti pagamenti</w:t>
      </w:r>
      <w:r w:rsidRPr="00CD7FBE">
        <w:rPr>
          <w:rStyle w:val="Rimandonotadichiusura"/>
          <w:rFonts w:ascii="Times New Roman" w:hAnsi="Times New Roman"/>
          <w:color w:val="000000"/>
          <w:sz w:val="20"/>
          <w:szCs w:val="20"/>
        </w:rPr>
        <w:endnoteReference w:id="68"/>
      </w:r>
      <w:r w:rsidRPr="00CD7FBE">
        <w:rPr>
          <w:rFonts w:ascii="Times New Roman" w:hAnsi="Times New Roman"/>
          <w:color w:val="000000"/>
          <w:sz w:val="20"/>
          <w:szCs w:val="20"/>
        </w:rPr>
        <w:t>. In particolare, attraverso la scrupolosa vigilanza sulla corretta esecuzione dei contratti, potrà essere possibile la formulazione di contestazioni in caso di inadempienze da parte del soggetto aggiudicatario, così da poter procedere all’applicazione delle penali o alla richiesta della risoluzione in danno del contratto;</w:t>
      </w:r>
    </w:p>
    <w:p w14:paraId="48666C8B" w14:textId="77777777" w:rsidR="00603F3F" w:rsidRPr="0098717B" w:rsidRDefault="00603F3F" w:rsidP="00603F3F">
      <w:pPr>
        <w:pStyle w:val="Titolo5"/>
        <w:keepNext w:val="0"/>
        <w:keepLines w:val="0"/>
        <w:widowControl w:val="0"/>
        <w:spacing w:before="0" w:line="276" w:lineRule="auto"/>
        <w:ind w:left="284" w:hanging="284"/>
        <w:jc w:val="both"/>
        <w:rPr>
          <w:rFonts w:ascii="Times New Roman" w:eastAsia="Times New Roman" w:hAnsi="Times New Roman" w:cs="Times New Roman"/>
          <w:b/>
          <w:color w:val="000000"/>
          <w:sz w:val="20"/>
          <w:szCs w:val="20"/>
        </w:rPr>
      </w:pPr>
      <w:bookmarkStart w:id="662" w:name="_Toc471969803"/>
      <w:bookmarkStart w:id="663" w:name="_Toc535854463"/>
      <w:r w:rsidRPr="0098717B">
        <w:rPr>
          <w:rFonts w:ascii="Times New Roman" w:eastAsia="Times New Roman" w:hAnsi="Times New Roman" w:cs="Times New Roman"/>
          <w:b/>
          <w:color w:val="000000"/>
          <w:sz w:val="20"/>
          <w:szCs w:val="20"/>
        </w:rPr>
        <w:t xml:space="preserve">f) </w:t>
      </w:r>
      <w:r>
        <w:rPr>
          <w:rFonts w:ascii="Times New Roman" w:eastAsia="Times New Roman" w:hAnsi="Times New Roman" w:cs="Times New Roman"/>
          <w:b/>
          <w:color w:val="000000"/>
          <w:sz w:val="20"/>
          <w:szCs w:val="20"/>
        </w:rPr>
        <w:tab/>
        <w:t>La r</w:t>
      </w:r>
      <w:r w:rsidRPr="0098717B">
        <w:rPr>
          <w:rFonts w:ascii="Times New Roman" w:eastAsia="Times New Roman" w:hAnsi="Times New Roman" w:cs="Times New Roman"/>
          <w:b/>
          <w:color w:val="000000"/>
          <w:sz w:val="20"/>
          <w:szCs w:val="20"/>
        </w:rPr>
        <w:t>endicontazione del contratto</w:t>
      </w:r>
      <w:bookmarkEnd w:id="662"/>
      <w:bookmarkEnd w:id="663"/>
      <w:r w:rsidRPr="0098717B">
        <w:rPr>
          <w:rFonts w:ascii="Times New Roman" w:eastAsia="Times New Roman" w:hAnsi="Times New Roman" w:cs="Times New Roman"/>
          <w:b/>
          <w:color w:val="000000"/>
          <w:sz w:val="20"/>
          <w:szCs w:val="20"/>
        </w:rPr>
        <w:t xml:space="preserve"> </w:t>
      </w:r>
    </w:p>
    <w:p w14:paraId="1C5EE132" w14:textId="77777777" w:rsidR="00603F3F" w:rsidRDefault="00603F3F" w:rsidP="00603F3F">
      <w:pPr>
        <w:widowControl w:val="0"/>
        <w:autoSpaceDE w:val="0"/>
        <w:autoSpaceDN w:val="0"/>
        <w:adjustRightInd w:val="0"/>
        <w:spacing w:after="0"/>
        <w:ind w:left="284"/>
        <w:jc w:val="both"/>
        <w:rPr>
          <w:rFonts w:ascii="Times New Roman" w:hAnsi="Times New Roman"/>
          <w:color w:val="000000"/>
          <w:sz w:val="20"/>
          <w:szCs w:val="20"/>
        </w:rPr>
      </w:pPr>
      <w:r>
        <w:rPr>
          <w:rFonts w:ascii="Times New Roman" w:hAnsi="Times New Roman"/>
          <w:color w:val="000000"/>
          <w:sz w:val="20"/>
          <w:szCs w:val="20"/>
        </w:rPr>
        <w:t xml:space="preserve">La </w:t>
      </w:r>
      <w:r w:rsidRPr="0098717B">
        <w:rPr>
          <w:rFonts w:ascii="Times New Roman" w:hAnsi="Times New Roman"/>
          <w:color w:val="000000"/>
          <w:sz w:val="20"/>
          <w:szCs w:val="20"/>
        </w:rPr>
        <w:t>fase di rendicontazione del contratto</w:t>
      </w:r>
      <w:r w:rsidRPr="00CD7FBE">
        <w:rPr>
          <w:rFonts w:ascii="Times New Roman" w:hAnsi="Times New Roman"/>
          <w:color w:val="000000"/>
          <w:sz w:val="20"/>
          <w:szCs w:val="20"/>
        </w:rPr>
        <w:t xml:space="preserve"> comporta la verifica, da parte del collaudatore ovvero del responsabile del procedimento, della conformità o regolare esecuzione dell’opera o della prestazione</w:t>
      </w:r>
      <w:r w:rsidRPr="00CD7FBE">
        <w:rPr>
          <w:rStyle w:val="Rimandonotadichiusura"/>
          <w:rFonts w:ascii="Times New Roman" w:hAnsi="Times New Roman"/>
          <w:color w:val="000000"/>
          <w:sz w:val="20"/>
          <w:szCs w:val="20"/>
        </w:rPr>
        <w:endnoteReference w:id="69"/>
      </w:r>
      <w:r w:rsidRPr="00CD7FBE">
        <w:rPr>
          <w:rFonts w:ascii="Times New Roman" w:hAnsi="Times New Roman"/>
          <w:color w:val="000000"/>
          <w:sz w:val="20"/>
          <w:szCs w:val="20"/>
        </w:rPr>
        <w:t>.</w:t>
      </w:r>
    </w:p>
    <w:p w14:paraId="7EF206B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p>
    <w:p w14:paraId="25F791BD" w14:textId="31B82958" w:rsidR="00603F3F" w:rsidRDefault="00603F3F" w:rsidP="00603F3F">
      <w:pPr>
        <w:pStyle w:val="Titolo4"/>
        <w:keepNext w:val="0"/>
        <w:widowControl w:val="0"/>
        <w:ind w:left="709" w:hanging="709"/>
        <w:jc w:val="both"/>
        <w:rPr>
          <w:b/>
          <w:szCs w:val="26"/>
          <w:lang w:val="it-IT" w:eastAsia="it-IT"/>
        </w:rPr>
      </w:pPr>
      <w:bookmarkStart w:id="664" w:name="_Toc535854464"/>
      <w:r w:rsidRPr="00826CE1">
        <w:rPr>
          <w:b/>
          <w:lang w:val="it-IT" w:eastAsia="it-IT"/>
        </w:rPr>
        <w:t>8.10.1.</w:t>
      </w:r>
      <w:r w:rsidRPr="00826CE1">
        <w:rPr>
          <w:b/>
          <w:szCs w:val="26"/>
          <w:lang w:val="it-IT" w:eastAsia="it-IT"/>
        </w:rPr>
        <w:tab/>
        <w:t>Le indicazioni dell’Autorità garante della concorrenza e del mercato</w:t>
      </w:r>
      <w:bookmarkEnd w:id="664"/>
      <w:r w:rsidRPr="00826CE1">
        <w:rPr>
          <w:b/>
          <w:szCs w:val="26"/>
          <w:lang w:val="it-IT" w:eastAsia="it-IT"/>
        </w:rPr>
        <w:t xml:space="preserve"> </w:t>
      </w:r>
    </w:p>
    <w:p w14:paraId="259EC69F"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Si evidenzia che l’Autorità garante della concorrenza e del mercato ha adottato, il 18 settembre 2013, un “</w:t>
      </w:r>
      <w:r w:rsidRPr="0098717B">
        <w:rPr>
          <w:rFonts w:ascii="Times New Roman" w:hAnsi="Times New Roman"/>
          <w:i/>
          <w:color w:val="000000"/>
          <w:sz w:val="20"/>
          <w:szCs w:val="20"/>
        </w:rPr>
        <w:t>vademecum</w:t>
      </w:r>
      <w:r w:rsidRPr="00CD7FBE">
        <w:rPr>
          <w:rFonts w:ascii="Times New Roman" w:hAnsi="Times New Roman"/>
          <w:color w:val="000000"/>
          <w:sz w:val="20"/>
          <w:szCs w:val="20"/>
        </w:rPr>
        <w:t>”, rivolto alle stazioni appaltanti, per identificare e segnalare all’Autorità stessa eventuali anomalie comportamentali che possono costituire indizio della presenza di fenomeni anticoncorrenziali ed illeciti.</w:t>
      </w:r>
    </w:p>
    <w:p w14:paraId="573675C3"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 xml:space="preserve">Il </w:t>
      </w:r>
      <w:r w:rsidRPr="0098717B">
        <w:rPr>
          <w:rFonts w:ascii="Times New Roman" w:hAnsi="Times New Roman"/>
          <w:i/>
          <w:color w:val="000000"/>
          <w:sz w:val="20"/>
          <w:szCs w:val="20"/>
        </w:rPr>
        <w:t>vademecum</w:t>
      </w:r>
      <w:r w:rsidRPr="00CD7FBE">
        <w:rPr>
          <w:rFonts w:ascii="Times New Roman" w:hAnsi="Times New Roman"/>
          <w:color w:val="000000"/>
          <w:sz w:val="20"/>
          <w:szCs w:val="20"/>
        </w:rPr>
        <w:t xml:space="preserve"> pone l’accento sul fatto che gli accordi anticoncorrenziali aventi ad oggetto gare per l’assegnazione di appalti pubblici, oltre a rappresentare delle infrazioni alle regole della concorrenza, comportano una lievitazione dei costi per lavori o forniture, e comportano quindi un danno diretto per l’intera collettività. Anche per tale motivo, le intese anticoncorrenziali in gara sono assoggettate non solo a sanzioni amministrative nei confronti delle imprese ma anche a sanzioni penali nei confronti delle persone fisiche.</w:t>
      </w:r>
      <w:r>
        <w:rPr>
          <w:rFonts w:ascii="Times New Roman" w:hAnsi="Times New Roman"/>
          <w:color w:val="000000"/>
          <w:sz w:val="20"/>
          <w:szCs w:val="20"/>
        </w:rPr>
        <w:t xml:space="preserve"> </w:t>
      </w:r>
      <w:r w:rsidRPr="00CD7FBE">
        <w:rPr>
          <w:rFonts w:ascii="Times New Roman" w:hAnsi="Times New Roman"/>
          <w:color w:val="000000"/>
          <w:sz w:val="20"/>
          <w:szCs w:val="20"/>
        </w:rPr>
        <w:t>Secondo l’Autorità, i fenomeni anticoncorrenziali si presentano soprattutto in particolari contesti di mercato caratterizzati da:</w:t>
      </w:r>
    </w:p>
    <w:p w14:paraId="5F5095ED"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CD7FBE">
        <w:rPr>
          <w:rFonts w:ascii="Times New Roman" w:hAnsi="Times New Roman"/>
          <w:color w:val="000000"/>
          <w:sz w:val="20"/>
          <w:szCs w:val="20"/>
        </w:rPr>
        <w:t>a)</w:t>
      </w:r>
      <w:r>
        <w:rPr>
          <w:rFonts w:ascii="Times New Roman" w:hAnsi="Times New Roman"/>
          <w:color w:val="000000"/>
          <w:sz w:val="20"/>
          <w:szCs w:val="20"/>
        </w:rPr>
        <w:tab/>
      </w:r>
      <w:r w:rsidRPr="0070096C">
        <w:rPr>
          <w:rFonts w:ascii="Times New Roman" w:hAnsi="Times New Roman"/>
          <w:i/>
          <w:color w:val="000000"/>
          <w:sz w:val="20"/>
          <w:szCs w:val="20"/>
        </w:rPr>
        <w:t>pochi concorrenti;</w:t>
      </w:r>
    </w:p>
    <w:p w14:paraId="31948801"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b)</w:t>
      </w:r>
      <w:r w:rsidRPr="0070096C">
        <w:rPr>
          <w:rFonts w:ascii="Times New Roman" w:hAnsi="Times New Roman"/>
          <w:i/>
          <w:color w:val="000000"/>
          <w:sz w:val="20"/>
          <w:szCs w:val="20"/>
        </w:rPr>
        <w:tab/>
        <w:t>concorrenti caratterizzati da analoga efficienza e dimensione;</w:t>
      </w:r>
    </w:p>
    <w:p w14:paraId="2A325F36"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c)</w:t>
      </w:r>
      <w:r w:rsidRPr="0070096C">
        <w:rPr>
          <w:rFonts w:ascii="Times New Roman" w:hAnsi="Times New Roman"/>
          <w:i/>
          <w:color w:val="000000"/>
          <w:sz w:val="20"/>
          <w:szCs w:val="20"/>
        </w:rPr>
        <w:tab/>
        <w:t>prodotti omogenei;</w:t>
      </w:r>
    </w:p>
    <w:p w14:paraId="697B7414"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d)</w:t>
      </w:r>
      <w:r w:rsidRPr="0070096C">
        <w:rPr>
          <w:rFonts w:ascii="Times New Roman" w:hAnsi="Times New Roman"/>
          <w:i/>
          <w:color w:val="000000"/>
          <w:sz w:val="20"/>
          <w:szCs w:val="20"/>
        </w:rPr>
        <w:tab/>
        <w:t>perdurante partecipazione alle gare delle stesse imprese;</w:t>
      </w:r>
    </w:p>
    <w:p w14:paraId="40211ED3"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rPr>
      </w:pPr>
      <w:r w:rsidRPr="0070096C">
        <w:rPr>
          <w:rFonts w:ascii="Times New Roman" w:hAnsi="Times New Roman"/>
          <w:i/>
          <w:color w:val="000000"/>
          <w:sz w:val="20"/>
          <w:szCs w:val="20"/>
        </w:rPr>
        <w:t>e)</w:t>
      </w:r>
      <w:r w:rsidRPr="0070096C">
        <w:rPr>
          <w:rFonts w:ascii="Times New Roman" w:hAnsi="Times New Roman"/>
          <w:i/>
          <w:color w:val="000000"/>
          <w:sz w:val="20"/>
          <w:szCs w:val="20"/>
        </w:rPr>
        <w:tab/>
        <w:t>appalto ripartito in più lotti dal valore economico simile.</w:t>
      </w:r>
    </w:p>
    <w:p w14:paraId="51A84C48"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rPr>
      </w:pPr>
    </w:p>
    <w:p w14:paraId="408358DF"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rPr>
      </w:pPr>
      <w:r w:rsidRPr="00CD7FBE">
        <w:rPr>
          <w:rFonts w:ascii="Times New Roman" w:hAnsi="Times New Roman"/>
          <w:color w:val="000000"/>
          <w:sz w:val="20"/>
          <w:szCs w:val="20"/>
        </w:rPr>
        <w:t>Inoltre, le manifestazioni di comportamenti anticoncorrenziali possono assumere le seguenti fattispecie:</w:t>
      </w:r>
    </w:p>
    <w:p w14:paraId="09F54060"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65" w:name="_Toc471969805"/>
      <w:bookmarkStart w:id="666" w:name="_Toc535854465"/>
      <w:r w:rsidRPr="004841AB">
        <w:rPr>
          <w:rFonts w:ascii="Times New Roman" w:eastAsia="Times New Roman" w:hAnsi="Times New Roman" w:cs="Times New Roman"/>
          <w:b/>
          <w:color w:val="000000"/>
          <w:sz w:val="20"/>
          <w:szCs w:val="20"/>
        </w:rPr>
        <w:t>a)</w:t>
      </w:r>
      <w:r>
        <w:rPr>
          <w:rFonts w:ascii="Times New Roman" w:eastAsia="Times New Roman" w:hAnsi="Times New Roman" w:cs="Times New Roman"/>
          <w:b/>
          <w:color w:val="000000"/>
          <w:sz w:val="20"/>
          <w:szCs w:val="20"/>
        </w:rPr>
        <w:tab/>
      </w:r>
      <w:r w:rsidRPr="0098717B">
        <w:rPr>
          <w:rFonts w:ascii="Times New Roman" w:eastAsia="Times New Roman" w:hAnsi="Times New Roman" w:cs="Times New Roman"/>
          <w:b/>
          <w:color w:val="000000"/>
          <w:sz w:val="20"/>
          <w:szCs w:val="20"/>
        </w:rPr>
        <w:t xml:space="preserve">Il </w:t>
      </w:r>
      <w:r>
        <w:rPr>
          <w:rFonts w:ascii="Times New Roman" w:eastAsia="Times New Roman" w:hAnsi="Times New Roman" w:cs="Times New Roman"/>
          <w:b/>
          <w:color w:val="000000"/>
          <w:sz w:val="20"/>
          <w:szCs w:val="20"/>
        </w:rPr>
        <w:t>b</w:t>
      </w:r>
      <w:r w:rsidRPr="0098717B">
        <w:rPr>
          <w:rFonts w:ascii="Times New Roman" w:eastAsia="Times New Roman" w:hAnsi="Times New Roman" w:cs="Times New Roman"/>
          <w:b/>
          <w:color w:val="000000"/>
          <w:sz w:val="20"/>
          <w:szCs w:val="20"/>
        </w:rPr>
        <w:t>oicottaggio della gara,</w:t>
      </w:r>
      <w:bookmarkEnd w:id="665"/>
      <w:bookmarkEnd w:id="666"/>
      <w:r w:rsidRPr="0098717B">
        <w:rPr>
          <w:rFonts w:ascii="Times New Roman" w:eastAsia="Times New Roman" w:hAnsi="Times New Roman" w:cs="Times New Roman"/>
          <w:b/>
          <w:color w:val="000000"/>
          <w:sz w:val="20"/>
          <w:szCs w:val="20"/>
        </w:rPr>
        <w:t xml:space="preserve"> </w:t>
      </w:r>
    </w:p>
    <w:p w14:paraId="20B362CB"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Pr>
          <w:rFonts w:ascii="Times New Roman" w:hAnsi="Times New Roman"/>
          <w:color w:val="000000"/>
          <w:sz w:val="20"/>
          <w:szCs w:val="20"/>
        </w:rPr>
        <w:t>Si</w:t>
      </w:r>
      <w:r w:rsidRPr="00CD7FBE">
        <w:rPr>
          <w:rFonts w:ascii="Times New Roman" w:hAnsi="Times New Roman"/>
          <w:color w:val="000000"/>
          <w:sz w:val="20"/>
          <w:szCs w:val="20"/>
        </w:rPr>
        <w:t xml:space="preserve"> caratterizza per la mancata presentazione di offerte da parte di una o più imprese al fine di prolungare il contratto con il fornitore abituale o di far ripartire pro quota il lavoro o la fornitura tra tutte le imprese interessate al contratto. Le principali manifestazioni che potrebbero essere indizio di questa strategia sono le seguenti:</w:t>
      </w:r>
    </w:p>
    <w:p w14:paraId="1CE1B6E7" w14:textId="77777777" w:rsidR="00603F3F" w:rsidRPr="0070096C" w:rsidRDefault="00603F3F" w:rsidP="00603F3F">
      <w:pPr>
        <w:widowControl w:val="0"/>
        <w:autoSpaceDE w:val="0"/>
        <w:autoSpaceDN w:val="0"/>
        <w:adjustRightInd w:val="0"/>
        <w:spacing w:after="0"/>
        <w:ind w:left="709" w:hanging="284"/>
        <w:jc w:val="both"/>
        <w:rPr>
          <w:rFonts w:ascii="Times New Roman" w:hAnsi="Times New Roman"/>
          <w:i/>
          <w:color w:val="000000"/>
          <w:sz w:val="20"/>
          <w:szCs w:val="20"/>
        </w:rPr>
      </w:pPr>
      <w:r w:rsidRPr="00CD7FBE">
        <w:rPr>
          <w:rFonts w:ascii="Times New Roman" w:hAnsi="Times New Roman"/>
          <w:color w:val="000000"/>
          <w:sz w:val="20"/>
          <w:szCs w:val="20"/>
        </w:rPr>
        <w:t>1)</w:t>
      </w:r>
      <w:r>
        <w:rPr>
          <w:rFonts w:ascii="Times New Roman" w:hAnsi="Times New Roman"/>
          <w:color w:val="000000"/>
          <w:sz w:val="20"/>
          <w:szCs w:val="20"/>
        </w:rPr>
        <w:tab/>
      </w:r>
      <w:r w:rsidRPr="0070096C">
        <w:rPr>
          <w:rFonts w:ascii="Times New Roman" w:hAnsi="Times New Roman"/>
          <w:i/>
          <w:color w:val="000000"/>
          <w:sz w:val="20"/>
          <w:szCs w:val="20"/>
        </w:rPr>
        <w:t>nessuna offerta presentata;</w:t>
      </w:r>
    </w:p>
    <w:p w14:paraId="1A327564" w14:textId="77777777" w:rsidR="00603F3F" w:rsidRPr="0070096C" w:rsidRDefault="00603F3F" w:rsidP="00603F3F">
      <w:pPr>
        <w:widowControl w:val="0"/>
        <w:autoSpaceDE w:val="0"/>
        <w:autoSpaceDN w:val="0"/>
        <w:adjustRightInd w:val="0"/>
        <w:spacing w:after="0"/>
        <w:ind w:left="709" w:hanging="284"/>
        <w:jc w:val="both"/>
        <w:rPr>
          <w:rFonts w:ascii="Times New Roman" w:hAnsi="Times New Roman"/>
          <w:i/>
          <w:color w:val="000000"/>
          <w:sz w:val="20"/>
          <w:szCs w:val="20"/>
        </w:rPr>
      </w:pPr>
      <w:r w:rsidRPr="0070096C">
        <w:rPr>
          <w:rFonts w:ascii="Times New Roman" w:hAnsi="Times New Roman"/>
          <w:i/>
          <w:color w:val="000000"/>
          <w:sz w:val="20"/>
          <w:szCs w:val="20"/>
        </w:rPr>
        <w:t xml:space="preserve">2) </w:t>
      </w:r>
      <w:r w:rsidRPr="0070096C">
        <w:rPr>
          <w:rFonts w:ascii="Times New Roman" w:hAnsi="Times New Roman"/>
          <w:i/>
          <w:color w:val="000000"/>
          <w:sz w:val="20"/>
          <w:szCs w:val="20"/>
        </w:rPr>
        <w:tab/>
        <w:t>presentazione di un'unica offerta o di un numero di offerte comunque insufficiente per procedere all’assegnazione dell’appalto (quando la stazione appaltante stabilisce un numero minimo per la regolarità della gara);</w:t>
      </w:r>
    </w:p>
    <w:p w14:paraId="1CCE3D05" w14:textId="77777777" w:rsidR="00603F3F" w:rsidRPr="0070096C" w:rsidRDefault="00603F3F" w:rsidP="00603F3F">
      <w:pPr>
        <w:widowControl w:val="0"/>
        <w:autoSpaceDE w:val="0"/>
        <w:autoSpaceDN w:val="0"/>
        <w:adjustRightInd w:val="0"/>
        <w:spacing w:after="0"/>
        <w:ind w:left="709" w:hanging="284"/>
        <w:jc w:val="both"/>
        <w:rPr>
          <w:rFonts w:ascii="Times New Roman" w:hAnsi="Times New Roman"/>
          <w:i/>
          <w:color w:val="000000"/>
          <w:sz w:val="20"/>
          <w:szCs w:val="20"/>
        </w:rPr>
      </w:pPr>
      <w:r w:rsidRPr="0070096C">
        <w:rPr>
          <w:rFonts w:ascii="Times New Roman" w:hAnsi="Times New Roman"/>
          <w:i/>
          <w:color w:val="000000"/>
          <w:sz w:val="20"/>
          <w:szCs w:val="20"/>
        </w:rPr>
        <w:t xml:space="preserve">3) </w:t>
      </w:r>
      <w:r w:rsidRPr="0070096C">
        <w:rPr>
          <w:rFonts w:ascii="Times New Roman" w:hAnsi="Times New Roman"/>
          <w:i/>
          <w:color w:val="000000"/>
          <w:sz w:val="20"/>
          <w:szCs w:val="20"/>
        </w:rPr>
        <w:tab/>
        <w:t>presentazione di offerte tutte caratterizzate dal medesimo importo (soprattutto quando le procedure di gara fissate dalla stazione appaltante prevedono in queste circostanze l’annullamento della gara o la ripartizione dell’appalto pro quota);</w:t>
      </w:r>
    </w:p>
    <w:p w14:paraId="2F07AB6E"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67" w:name="_Toc471969806"/>
      <w:bookmarkStart w:id="668" w:name="_Toc535854466"/>
      <w:r>
        <w:rPr>
          <w:rFonts w:ascii="Times New Roman" w:eastAsia="Times New Roman" w:hAnsi="Times New Roman" w:cs="Times New Roman"/>
          <w:b/>
          <w:color w:val="000000"/>
          <w:sz w:val="20"/>
          <w:szCs w:val="20"/>
        </w:rPr>
        <w:t>b)</w:t>
      </w:r>
      <w:r>
        <w:rPr>
          <w:rFonts w:ascii="Times New Roman" w:eastAsia="Times New Roman" w:hAnsi="Times New Roman" w:cs="Times New Roman"/>
          <w:b/>
          <w:color w:val="000000"/>
          <w:sz w:val="20"/>
          <w:szCs w:val="20"/>
        </w:rPr>
        <w:tab/>
        <w:t>Le o</w:t>
      </w:r>
      <w:r w:rsidRPr="0098717B">
        <w:rPr>
          <w:rFonts w:ascii="Times New Roman" w:eastAsia="Times New Roman" w:hAnsi="Times New Roman" w:cs="Times New Roman"/>
          <w:b/>
          <w:color w:val="000000"/>
          <w:sz w:val="20"/>
          <w:szCs w:val="20"/>
        </w:rPr>
        <w:t>fferte di comodo,</w:t>
      </w:r>
      <w:bookmarkEnd w:id="667"/>
      <w:bookmarkEnd w:id="668"/>
      <w:r w:rsidRPr="0098717B">
        <w:rPr>
          <w:rFonts w:ascii="Times New Roman" w:eastAsia="Times New Roman" w:hAnsi="Times New Roman" w:cs="Times New Roman"/>
          <w:b/>
          <w:color w:val="000000"/>
          <w:sz w:val="20"/>
          <w:szCs w:val="20"/>
        </w:rPr>
        <w:t xml:space="preserve"> </w:t>
      </w:r>
    </w:p>
    <w:p w14:paraId="544860CB"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Pr>
          <w:rFonts w:ascii="Times New Roman" w:hAnsi="Times New Roman"/>
          <w:color w:val="000000"/>
          <w:sz w:val="20"/>
          <w:szCs w:val="20"/>
        </w:rPr>
        <w:t>R</w:t>
      </w:r>
      <w:r w:rsidRPr="00CD7FBE">
        <w:rPr>
          <w:rFonts w:ascii="Times New Roman" w:hAnsi="Times New Roman"/>
          <w:color w:val="000000"/>
          <w:sz w:val="20"/>
          <w:szCs w:val="20"/>
        </w:rPr>
        <w:t>appresentano una pratica particolarmente diffusa di turbativa d’asta, finalizzata a conferire un’apparente regolarità concorrenziale alla gara e a celarne l’innalzamento dei prezzi di aggiudicazione (es. offerte presentate dalle imprese non aggiudicatarie, che si caratterizzano per importi palesemente troppo elevati, ovvero offerte contenenti condizioni particolari e quindi inaccettabili per la stazione appaltante, così da determinarne l’esclusione.</w:t>
      </w:r>
    </w:p>
    <w:p w14:paraId="77B630AC"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sidRPr="00CD7FBE">
        <w:rPr>
          <w:rFonts w:ascii="Times New Roman" w:hAnsi="Times New Roman"/>
          <w:color w:val="000000"/>
          <w:sz w:val="20"/>
          <w:szCs w:val="20"/>
        </w:rPr>
        <w:t>Una sequenza di gare in cui risulti aggiudicataria sempre la stessa impresa può poi destare il sospetto che i concorrenti presentino offerte di comodo;</w:t>
      </w:r>
    </w:p>
    <w:p w14:paraId="23762A07"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69" w:name="_Toc471969807"/>
      <w:bookmarkStart w:id="670" w:name="_Toc535854467"/>
      <w:r>
        <w:rPr>
          <w:rFonts w:ascii="Times New Roman" w:eastAsia="Times New Roman" w:hAnsi="Times New Roman" w:cs="Times New Roman"/>
          <w:b/>
          <w:color w:val="000000"/>
          <w:sz w:val="20"/>
          <w:szCs w:val="20"/>
        </w:rPr>
        <w:t>c)</w:t>
      </w:r>
      <w:r>
        <w:rPr>
          <w:rFonts w:ascii="Times New Roman" w:eastAsia="Times New Roman" w:hAnsi="Times New Roman" w:cs="Times New Roman"/>
          <w:b/>
          <w:color w:val="000000"/>
          <w:sz w:val="20"/>
          <w:szCs w:val="20"/>
        </w:rPr>
        <w:tab/>
        <w:t>I s</w:t>
      </w:r>
      <w:r w:rsidRPr="0098717B">
        <w:rPr>
          <w:rFonts w:ascii="Times New Roman" w:eastAsia="Times New Roman" w:hAnsi="Times New Roman" w:cs="Times New Roman"/>
          <w:b/>
          <w:color w:val="000000"/>
          <w:sz w:val="20"/>
          <w:szCs w:val="20"/>
        </w:rPr>
        <w:t xml:space="preserve">ubappalti o </w:t>
      </w:r>
      <w:r>
        <w:rPr>
          <w:rFonts w:ascii="Times New Roman" w:eastAsia="Times New Roman" w:hAnsi="Times New Roman" w:cs="Times New Roman"/>
          <w:b/>
          <w:color w:val="000000"/>
          <w:sz w:val="20"/>
          <w:szCs w:val="20"/>
        </w:rPr>
        <w:t xml:space="preserve">le </w:t>
      </w:r>
      <w:r w:rsidRPr="0098717B">
        <w:rPr>
          <w:rFonts w:ascii="Times New Roman" w:eastAsia="Times New Roman" w:hAnsi="Times New Roman" w:cs="Times New Roman"/>
          <w:b/>
          <w:color w:val="000000"/>
          <w:sz w:val="20"/>
          <w:szCs w:val="20"/>
        </w:rPr>
        <w:t>ATI (Associazione Temporanea d’Imprese)</w:t>
      </w:r>
      <w:bookmarkEnd w:id="669"/>
      <w:r>
        <w:rPr>
          <w:rFonts w:ascii="Times New Roman" w:eastAsia="Times New Roman" w:hAnsi="Times New Roman" w:cs="Times New Roman"/>
          <w:b/>
          <w:color w:val="000000"/>
          <w:sz w:val="20"/>
          <w:szCs w:val="20"/>
        </w:rPr>
        <w:t>.</w:t>
      </w:r>
      <w:bookmarkEnd w:id="670"/>
      <w:r w:rsidRPr="0098717B">
        <w:rPr>
          <w:rFonts w:ascii="Times New Roman" w:eastAsia="Times New Roman" w:hAnsi="Times New Roman" w:cs="Times New Roman"/>
          <w:b/>
          <w:color w:val="000000"/>
          <w:sz w:val="20"/>
          <w:szCs w:val="20"/>
        </w:rPr>
        <w:t xml:space="preserve"> </w:t>
      </w:r>
    </w:p>
    <w:p w14:paraId="0737059E" w14:textId="77777777" w:rsidR="00603F3F" w:rsidRPr="00CD7FBE"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Pr>
          <w:rFonts w:ascii="Times New Roman" w:hAnsi="Times New Roman"/>
          <w:color w:val="000000"/>
          <w:sz w:val="20"/>
          <w:szCs w:val="20"/>
        </w:rPr>
        <w:t>S</w:t>
      </w:r>
      <w:r w:rsidRPr="00CD7FBE">
        <w:rPr>
          <w:rFonts w:ascii="Times New Roman" w:hAnsi="Times New Roman"/>
          <w:color w:val="000000"/>
          <w:sz w:val="20"/>
          <w:szCs w:val="20"/>
        </w:rPr>
        <w:t>i possono prestare ad un uso distorto dal momento che sono anche idonei a favorire la spartizione del mercato o addirittura della singola commessa. Un indizio di tale meccanismo spartitorio può essere rinvenuto laddove imprese, singolarmente in grado di partecipare a una gara, scelgono di astenervisi in vista di un successivo subappalto o optano per la costituzione di un’ATI. L’evidenza della possibilità di partecipazione autonoma ad un</w:t>
      </w:r>
      <w:r>
        <w:rPr>
          <w:rFonts w:ascii="Times New Roman" w:hAnsi="Times New Roman"/>
          <w:color w:val="000000"/>
          <w:sz w:val="20"/>
          <w:szCs w:val="20"/>
        </w:rPr>
        <w:t>a</w:t>
      </w:r>
      <w:r w:rsidRPr="00CD7FBE">
        <w:rPr>
          <w:rFonts w:ascii="Times New Roman" w:hAnsi="Times New Roman"/>
          <w:color w:val="000000"/>
          <w:sz w:val="20"/>
          <w:szCs w:val="20"/>
        </w:rPr>
        <w:t xml:space="preserve"> gara può essere tratta dalla storia delle precedenti aggiudicazioni. Particolarmente sospetti sono i casi nei quali un’impresa decida inizialmente di partecipare ad una gara, ritirando l’offerta in un secondo momento, per poi risultare beneficiaria di un subappalto relativo alla medesima gara;</w:t>
      </w:r>
    </w:p>
    <w:p w14:paraId="64DF4547" w14:textId="77777777" w:rsidR="00603F3F" w:rsidRPr="0098717B" w:rsidRDefault="00603F3F" w:rsidP="00603F3F">
      <w:pPr>
        <w:pStyle w:val="Titolo5"/>
        <w:keepNext w:val="0"/>
        <w:keepLines w:val="0"/>
        <w:widowControl w:val="0"/>
        <w:spacing w:before="0" w:line="276" w:lineRule="auto"/>
        <w:ind w:left="426" w:hanging="426"/>
        <w:jc w:val="both"/>
        <w:rPr>
          <w:rFonts w:ascii="Times New Roman" w:eastAsia="Times New Roman" w:hAnsi="Times New Roman" w:cs="Times New Roman"/>
          <w:b/>
          <w:color w:val="000000"/>
          <w:sz w:val="20"/>
          <w:szCs w:val="20"/>
        </w:rPr>
      </w:pPr>
      <w:bookmarkStart w:id="671" w:name="_Toc471969808"/>
      <w:bookmarkStart w:id="672" w:name="_Toc535854468"/>
      <w:r w:rsidRPr="004841AB">
        <w:rPr>
          <w:rFonts w:ascii="Times New Roman" w:eastAsia="Times New Roman" w:hAnsi="Times New Roman" w:cs="Times New Roman"/>
          <w:b/>
          <w:color w:val="000000"/>
          <w:sz w:val="20"/>
          <w:szCs w:val="20"/>
        </w:rPr>
        <w:t>d)</w:t>
      </w:r>
      <w:r>
        <w:rPr>
          <w:rFonts w:ascii="Times New Roman" w:eastAsia="Times New Roman" w:hAnsi="Times New Roman" w:cs="Times New Roman"/>
          <w:b/>
          <w:color w:val="000000"/>
          <w:sz w:val="20"/>
          <w:szCs w:val="20"/>
        </w:rPr>
        <w:tab/>
        <w:t>I s</w:t>
      </w:r>
      <w:r w:rsidRPr="0098717B">
        <w:rPr>
          <w:rFonts w:ascii="Times New Roman" w:eastAsia="Times New Roman" w:hAnsi="Times New Roman" w:cs="Times New Roman"/>
          <w:b/>
          <w:color w:val="000000"/>
          <w:sz w:val="20"/>
          <w:szCs w:val="20"/>
        </w:rPr>
        <w:t>egnali di allarme nelle modalità di partecipazione all’asta.</w:t>
      </w:r>
      <w:bookmarkEnd w:id="671"/>
      <w:bookmarkEnd w:id="672"/>
      <w:r w:rsidRPr="0098717B">
        <w:rPr>
          <w:rFonts w:ascii="Times New Roman" w:eastAsia="Times New Roman" w:hAnsi="Times New Roman" w:cs="Times New Roman"/>
          <w:b/>
          <w:color w:val="000000"/>
          <w:sz w:val="20"/>
          <w:szCs w:val="20"/>
        </w:rPr>
        <w:t xml:space="preserve"> </w:t>
      </w:r>
    </w:p>
    <w:p w14:paraId="6471AE8D" w14:textId="77777777" w:rsidR="00603F3F" w:rsidRDefault="00603F3F" w:rsidP="00603F3F">
      <w:pPr>
        <w:widowControl w:val="0"/>
        <w:autoSpaceDE w:val="0"/>
        <w:autoSpaceDN w:val="0"/>
        <w:adjustRightInd w:val="0"/>
        <w:spacing w:after="0"/>
        <w:ind w:left="426"/>
        <w:jc w:val="both"/>
        <w:rPr>
          <w:rFonts w:ascii="Times New Roman" w:hAnsi="Times New Roman"/>
          <w:color w:val="000000"/>
          <w:sz w:val="20"/>
          <w:szCs w:val="20"/>
        </w:rPr>
      </w:pPr>
      <w:r w:rsidRPr="00CD7FBE">
        <w:rPr>
          <w:rFonts w:ascii="Times New Roman" w:hAnsi="Times New Roman"/>
          <w:color w:val="000000"/>
          <w:sz w:val="20"/>
          <w:szCs w:val="20"/>
        </w:rPr>
        <w:t>Può accadere che gli aderenti ad un cartello presentino le domande di partecipazione all’asta con modalità tali da tradire la comune formulazione. È questo il caso di: 1) comuni errori di battitura; 2) stessa grafia; 3) riferimento a domande di altri partecipanti alla medesima gara; 4) analoghe stime o errori di calcolo; 5) consegna contemporanea, da parte di un soggetto, di più offerte per conto di differenti partecipanti alla medesima procedura di gara.</w:t>
      </w:r>
    </w:p>
    <w:p w14:paraId="7842376D" w14:textId="77777777" w:rsidR="00603F3F" w:rsidRDefault="00603F3F" w:rsidP="00603F3F">
      <w:pPr>
        <w:widowControl w:val="0"/>
        <w:autoSpaceDE w:val="0"/>
        <w:autoSpaceDN w:val="0"/>
        <w:adjustRightInd w:val="0"/>
        <w:spacing w:after="0"/>
        <w:ind w:left="142"/>
        <w:jc w:val="both"/>
        <w:rPr>
          <w:rFonts w:ascii="Times New Roman" w:hAnsi="Times New Roman"/>
          <w:color w:val="000000"/>
          <w:sz w:val="20"/>
          <w:szCs w:val="20"/>
        </w:rPr>
      </w:pPr>
    </w:p>
    <w:p w14:paraId="1F55597E" w14:textId="77777777" w:rsidR="00603F3F" w:rsidRPr="005F5226" w:rsidRDefault="00603F3F" w:rsidP="00603F3F">
      <w:pPr>
        <w:pStyle w:val="Titolo4"/>
        <w:keepNext w:val="0"/>
        <w:widowControl w:val="0"/>
        <w:ind w:left="709" w:hanging="709"/>
        <w:jc w:val="both"/>
        <w:rPr>
          <w:b/>
          <w:lang w:val="it-IT"/>
        </w:rPr>
      </w:pPr>
      <w:bookmarkStart w:id="673" w:name="_Toc473547423"/>
      <w:bookmarkStart w:id="674" w:name="_Toc535854469"/>
      <w:r w:rsidRPr="005F5226">
        <w:rPr>
          <w:b/>
          <w:lang w:val="it-IT"/>
        </w:rPr>
        <w:t>8.10.2</w:t>
      </w:r>
      <w:r w:rsidRPr="00FB1545">
        <w:rPr>
          <w:color w:val="5B9BD5" w:themeColor="accent1"/>
          <w:lang w:val="it-IT"/>
        </w:rPr>
        <w:t>.</w:t>
      </w:r>
      <w:r w:rsidRPr="00FB1545">
        <w:rPr>
          <w:color w:val="5B9BD5" w:themeColor="accent1"/>
          <w:lang w:val="it-IT"/>
        </w:rPr>
        <w:tab/>
      </w:r>
      <w:r w:rsidRPr="005F5226">
        <w:rPr>
          <w:b/>
          <w:lang w:val="it-IT"/>
        </w:rPr>
        <w:t>Il soggetto responsabile (RASA) dell’inserimento e dell’aggiornamento annuale degli elementi identificativi della stazione appaltante</w:t>
      </w:r>
      <w:bookmarkEnd w:id="673"/>
      <w:bookmarkEnd w:id="674"/>
    </w:p>
    <w:p w14:paraId="28570B38" w14:textId="77777777" w:rsidR="00603F3F" w:rsidRPr="00683DFB" w:rsidRDefault="00603F3F" w:rsidP="00603F3F">
      <w:pPr>
        <w:widowControl w:val="0"/>
        <w:spacing w:after="0"/>
        <w:jc w:val="both"/>
        <w:rPr>
          <w:rFonts w:ascii="Times New Roman" w:hAnsi="Times New Roman"/>
          <w:color w:val="000000"/>
          <w:sz w:val="20"/>
          <w:szCs w:val="20"/>
        </w:rPr>
      </w:pPr>
      <w:r w:rsidRPr="00683DFB">
        <w:rPr>
          <w:rFonts w:ascii="Times New Roman" w:eastAsia="Times New Roman" w:hAnsi="Times New Roman"/>
          <w:bCs/>
          <w:color w:val="000000"/>
          <w:sz w:val="20"/>
          <w:szCs w:val="20"/>
          <w:lang w:eastAsia="it-IT"/>
        </w:rPr>
        <w:t>Con l’art. 33-ter del DECRETO-LEGGE 18 ottobre 2012, n. 179 “</w:t>
      </w:r>
      <w:r w:rsidRPr="00683DFB">
        <w:rPr>
          <w:rFonts w:ascii="Times New Roman" w:eastAsia="Times New Roman" w:hAnsi="Times New Roman"/>
          <w:i/>
          <w:color w:val="000000"/>
          <w:sz w:val="20"/>
          <w:szCs w:val="20"/>
          <w:lang w:eastAsia="it-IT"/>
        </w:rPr>
        <w:t>Ulteriori misure urgenti per la crescita del Paese</w:t>
      </w:r>
      <w:r w:rsidRPr="00683DFB">
        <w:rPr>
          <w:rFonts w:ascii="Times New Roman" w:eastAsia="Times New Roman" w:hAnsi="Times New Roman"/>
          <w:color w:val="000000"/>
          <w:sz w:val="20"/>
          <w:szCs w:val="20"/>
          <w:lang w:eastAsia="it-IT"/>
        </w:rPr>
        <w:t xml:space="preserve">” convertito con la </w:t>
      </w:r>
      <w:r w:rsidRPr="00683DFB">
        <w:rPr>
          <w:rFonts w:ascii="Times New Roman" w:hAnsi="Times New Roman"/>
          <w:sz w:val="20"/>
          <w:szCs w:val="20"/>
        </w:rPr>
        <w:t>Legge 17 dicembre 2012, n. 221, ha disposto: “</w:t>
      </w:r>
      <w:r w:rsidRPr="00683DFB">
        <w:rPr>
          <w:rFonts w:ascii="Times New Roman" w:hAnsi="Times New Roman"/>
          <w:i/>
          <w:sz w:val="20"/>
          <w:szCs w:val="20"/>
        </w:rPr>
        <w:t xml:space="preserve">È </w:t>
      </w:r>
      <w:r w:rsidRPr="00683DFB">
        <w:rPr>
          <w:rFonts w:ascii="Times New Roman" w:hAnsi="Times New Roman"/>
          <w:i/>
          <w:color w:val="000000"/>
          <w:sz w:val="20"/>
          <w:szCs w:val="20"/>
        </w:rPr>
        <w:t>istituita presso l’Autorità per la vigilanza sui contratti pubblici di lavori, servizi e forniture l'Anagrafe unica delle stazioni appaltanti. Le stazioni appaltanti di contratti pubblici di lavori, servizi e forniture hanno l'obbligo di richiedere l'iscrizione all'Anagrafe unica presso la Banca dati nazionale dei contratti pubblici istituita ai sensi dell'articolo 62-bis del codice dell'amministrazione digitale di cui al decreto legislativo 7 marzo 2005, n. 82. Esse hanno altresì l'obbligo di aggiornare annualmente i rispettivi dati identificativi. Dall'obbligo di iscrizione ed aggiornamento dei dati derivano, in caso di inadempimento, la nullità degli atti adottati e la responsabilità amministrativa e contabile dei funzionari responsabili.</w:t>
      </w:r>
      <w:r w:rsidRPr="00683DFB">
        <w:rPr>
          <w:rFonts w:ascii="Times New Roman" w:hAnsi="Times New Roman"/>
          <w:color w:val="000000"/>
          <w:sz w:val="20"/>
          <w:szCs w:val="20"/>
        </w:rPr>
        <w:t>”</w:t>
      </w:r>
    </w:p>
    <w:p w14:paraId="2E563205" w14:textId="77777777" w:rsidR="00603F3F" w:rsidRPr="00683DFB" w:rsidRDefault="00603F3F" w:rsidP="00603F3F">
      <w:pPr>
        <w:widowControl w:val="0"/>
        <w:spacing w:after="0"/>
        <w:jc w:val="both"/>
        <w:rPr>
          <w:rFonts w:ascii="Times New Roman" w:hAnsi="Times New Roman"/>
          <w:sz w:val="20"/>
          <w:szCs w:val="20"/>
        </w:rPr>
      </w:pPr>
    </w:p>
    <w:p w14:paraId="711CD116" w14:textId="2238A503" w:rsidR="00603F3F" w:rsidRPr="004F5AE2" w:rsidRDefault="00603F3F" w:rsidP="00603F3F">
      <w:pPr>
        <w:widowControl w:val="0"/>
        <w:spacing w:after="0"/>
        <w:jc w:val="both"/>
        <w:rPr>
          <w:rFonts w:ascii="Times New Roman" w:eastAsia="Times New Roman" w:hAnsi="Times New Roman"/>
          <w:sz w:val="20"/>
          <w:szCs w:val="20"/>
          <w:lang w:eastAsia="it-IT"/>
        </w:rPr>
      </w:pPr>
      <w:r w:rsidRPr="00683DFB">
        <w:rPr>
          <w:rFonts w:ascii="Times New Roman" w:hAnsi="Times New Roman"/>
          <w:sz w:val="20"/>
          <w:szCs w:val="20"/>
        </w:rPr>
        <w:t xml:space="preserve">Con il </w:t>
      </w:r>
      <w:r w:rsidRPr="004F5AE2">
        <w:rPr>
          <w:rFonts w:ascii="Times New Roman" w:eastAsia="Times New Roman" w:hAnsi="Times New Roman"/>
          <w:bCs/>
          <w:sz w:val="20"/>
          <w:szCs w:val="20"/>
          <w:lang w:eastAsia="it-IT"/>
        </w:rPr>
        <w:t xml:space="preserve">Comunicato del Presidente </w:t>
      </w:r>
      <w:r w:rsidRPr="00683DFB">
        <w:rPr>
          <w:rFonts w:ascii="Times New Roman" w:eastAsia="Times New Roman" w:hAnsi="Times New Roman"/>
          <w:bCs/>
          <w:sz w:val="20"/>
          <w:szCs w:val="20"/>
          <w:lang w:eastAsia="it-IT"/>
        </w:rPr>
        <w:t xml:space="preserve">dell’ANAC </w:t>
      </w:r>
      <w:r w:rsidRPr="004F5AE2">
        <w:rPr>
          <w:rFonts w:ascii="Times New Roman" w:eastAsia="Times New Roman" w:hAnsi="Times New Roman"/>
          <w:bCs/>
          <w:sz w:val="20"/>
          <w:szCs w:val="20"/>
          <w:lang w:eastAsia="it-IT"/>
        </w:rPr>
        <w:t>del 28 ottobre 2013</w:t>
      </w:r>
      <w:r w:rsidRPr="00683DFB">
        <w:rPr>
          <w:rFonts w:ascii="Times New Roman" w:eastAsia="Times New Roman" w:hAnsi="Times New Roman"/>
          <w:bCs/>
          <w:sz w:val="20"/>
          <w:szCs w:val="20"/>
          <w:lang w:eastAsia="it-IT"/>
        </w:rPr>
        <w:t xml:space="preserve"> “</w:t>
      </w:r>
      <w:r w:rsidRPr="00683DFB">
        <w:rPr>
          <w:rFonts w:ascii="Times New Roman" w:eastAsia="Times New Roman" w:hAnsi="Times New Roman"/>
          <w:bCs/>
          <w:i/>
          <w:sz w:val="20"/>
          <w:szCs w:val="20"/>
          <w:lang w:eastAsia="it-IT"/>
        </w:rPr>
        <w:t>Indicazioni operative per la comunicazione del soggetto Responsabile dell’Anagrafe per la Stazione Appaltante (RASA) incaricato della compilazione ed aggiornamento dell’Anagrafe Unica delle Stazioni Appaltanti (AUSA)</w:t>
      </w:r>
      <w:r w:rsidRPr="00683DFB">
        <w:rPr>
          <w:rFonts w:ascii="Times New Roman" w:eastAsia="Times New Roman" w:hAnsi="Times New Roman"/>
          <w:bCs/>
          <w:sz w:val="20"/>
          <w:szCs w:val="20"/>
          <w:lang w:eastAsia="it-IT"/>
        </w:rPr>
        <w:t>” È stato comunicato che: “</w:t>
      </w:r>
      <w:r w:rsidRPr="004F5AE2">
        <w:rPr>
          <w:rFonts w:ascii="Times New Roman" w:eastAsia="Times New Roman" w:hAnsi="Times New Roman"/>
          <w:sz w:val="20"/>
          <w:szCs w:val="20"/>
          <w:lang w:eastAsia="it-IT"/>
        </w:rPr>
        <w:t xml:space="preserve">ciascuna stazione appaltante è tenuta a nominare con apposito provvedimento il soggetto responsabile incaricato della verifica e/o della compilazione e del successivo aggiornamento, almeno annuale, delle informazioni e dei dati identificativi della stazione appaltante stessa, denominato </w:t>
      </w:r>
      <w:r w:rsidRPr="00683DFB">
        <w:rPr>
          <w:rFonts w:ascii="Times New Roman" w:eastAsia="Times New Roman" w:hAnsi="Times New Roman"/>
          <w:i/>
          <w:iCs/>
          <w:sz w:val="20"/>
          <w:szCs w:val="20"/>
          <w:lang w:eastAsia="it-IT"/>
        </w:rPr>
        <w:t>Responsabile dell’Anagrafe per la Stazione Appaltante (RASA)</w:t>
      </w:r>
      <w:r w:rsidRPr="004F5AE2">
        <w:rPr>
          <w:rFonts w:ascii="Times New Roman" w:eastAsia="Times New Roman" w:hAnsi="Times New Roman"/>
          <w:sz w:val="20"/>
          <w:szCs w:val="20"/>
          <w:lang w:eastAsia="it-IT"/>
        </w:rPr>
        <w:t>. La trasmissione del provvedimento di nomina del RASA potrà essere richiesta dall’Autorità per l’espletamento di eventuali successive verifiche.</w:t>
      </w:r>
      <w:r>
        <w:rPr>
          <w:rFonts w:ascii="Times New Roman" w:eastAsia="Times New Roman" w:hAnsi="Times New Roman"/>
          <w:sz w:val="20"/>
          <w:szCs w:val="20"/>
          <w:lang w:eastAsia="it-IT"/>
        </w:rPr>
        <w:t xml:space="preserve"> </w:t>
      </w:r>
      <w:r w:rsidRPr="004F5AE2">
        <w:rPr>
          <w:rFonts w:ascii="Times New Roman" w:eastAsia="Times New Roman" w:hAnsi="Times New Roman"/>
          <w:sz w:val="20"/>
          <w:szCs w:val="20"/>
          <w:lang w:eastAsia="it-IT"/>
        </w:rPr>
        <w:t xml:space="preserve">Il suddetto soggetto responsabile è unico per ogni stazione appaltante, intesa come amministrazione aggiudicatrice od altro soggetto aggiudicatore, indipendentemente dall’articolazione della stessa in uno o più centri di costo, ed è tenuto a richiedere la prenotazione del profilo di </w:t>
      </w:r>
      <w:r w:rsidRPr="00683DFB">
        <w:rPr>
          <w:rFonts w:ascii="Times New Roman" w:eastAsia="Times New Roman" w:hAnsi="Times New Roman"/>
          <w:i/>
          <w:iCs/>
          <w:sz w:val="20"/>
          <w:szCs w:val="20"/>
          <w:lang w:eastAsia="it-IT"/>
        </w:rPr>
        <w:t>RASA</w:t>
      </w:r>
      <w:r w:rsidRPr="004F5AE2">
        <w:rPr>
          <w:rFonts w:ascii="Times New Roman" w:eastAsia="Times New Roman" w:hAnsi="Times New Roman"/>
          <w:sz w:val="20"/>
          <w:szCs w:val="20"/>
          <w:lang w:eastAsia="it-IT"/>
        </w:rPr>
        <w:t>, secondo le seguenti modalità operative.</w:t>
      </w:r>
      <w:r>
        <w:rPr>
          <w:rFonts w:ascii="Times New Roman" w:eastAsia="Times New Roman" w:hAnsi="Times New Roman"/>
          <w:sz w:val="20"/>
          <w:szCs w:val="20"/>
          <w:lang w:eastAsia="it-IT"/>
        </w:rPr>
        <w:t xml:space="preserve"> </w:t>
      </w:r>
      <w:r w:rsidRPr="004F5AE2">
        <w:rPr>
          <w:rFonts w:ascii="Times New Roman" w:eastAsia="Times New Roman" w:hAnsi="Times New Roman"/>
          <w:sz w:val="20"/>
          <w:szCs w:val="20"/>
          <w:lang w:eastAsia="it-IT"/>
        </w:rPr>
        <w:t>Il soggetto responsabile deve:</w:t>
      </w:r>
    </w:p>
    <w:p w14:paraId="798E2C74" w14:textId="77777777" w:rsidR="00603F3F" w:rsidRPr="0070096C" w:rsidRDefault="00603F3F" w:rsidP="003E3269">
      <w:pPr>
        <w:widowControl w:val="0"/>
        <w:numPr>
          <w:ilvl w:val="0"/>
          <w:numId w:val="15"/>
        </w:numPr>
        <w:tabs>
          <w:tab w:val="clear" w:pos="720"/>
        </w:tabs>
        <w:spacing w:after="0"/>
        <w:ind w:left="284" w:hanging="284"/>
        <w:jc w:val="both"/>
        <w:rPr>
          <w:rFonts w:ascii="Times New Roman" w:eastAsia="Times New Roman" w:hAnsi="Times New Roman"/>
          <w:i/>
          <w:sz w:val="20"/>
          <w:szCs w:val="20"/>
          <w:lang w:eastAsia="it-IT"/>
        </w:rPr>
      </w:pPr>
      <w:r w:rsidRPr="0070096C">
        <w:rPr>
          <w:rFonts w:ascii="Times New Roman" w:eastAsia="Times New Roman" w:hAnsi="Times New Roman"/>
          <w:i/>
          <w:sz w:val="20"/>
          <w:szCs w:val="20"/>
          <w:lang w:eastAsia="it-IT"/>
        </w:rPr>
        <w:t xml:space="preserve">registrarsi all’indirizzo internet </w:t>
      </w:r>
      <w:hyperlink r:id="rId18" w:tooltip="Collegamento a sito esterno Registrazione Utente" w:history="1">
        <w:r w:rsidRPr="0070096C">
          <w:rPr>
            <w:rFonts w:ascii="Times New Roman" w:eastAsia="Times New Roman" w:hAnsi="Times New Roman"/>
            <w:i/>
            <w:color w:val="0000FF"/>
            <w:sz w:val="20"/>
            <w:szCs w:val="20"/>
            <w:u w:val="single"/>
            <w:lang w:eastAsia="it-IT"/>
          </w:rPr>
          <w:t>https://servizi.avcp.it/</w:t>
        </w:r>
      </w:hyperlink>
      <w:r w:rsidRPr="0070096C">
        <w:rPr>
          <w:rFonts w:ascii="Times New Roman" w:eastAsia="Times New Roman" w:hAnsi="Times New Roman"/>
          <w:i/>
          <w:sz w:val="20"/>
          <w:szCs w:val="20"/>
          <w:lang w:eastAsia="it-IT"/>
        </w:rPr>
        <w:t xml:space="preserve">, il quale rilascerà </w:t>
      </w:r>
      <w:r w:rsidRPr="0070096C">
        <w:rPr>
          <w:rFonts w:ascii="Times New Roman" w:eastAsia="Times New Roman" w:hAnsi="Times New Roman"/>
          <w:i/>
          <w:iCs/>
          <w:sz w:val="20"/>
          <w:szCs w:val="20"/>
          <w:lang w:eastAsia="it-IT"/>
        </w:rPr>
        <w:t>“Nome utente“</w:t>
      </w:r>
      <w:r w:rsidRPr="0070096C">
        <w:rPr>
          <w:rFonts w:ascii="Times New Roman" w:eastAsia="Times New Roman" w:hAnsi="Times New Roman"/>
          <w:i/>
          <w:sz w:val="20"/>
          <w:szCs w:val="20"/>
          <w:lang w:eastAsia="it-IT"/>
        </w:rPr>
        <w:t xml:space="preserve"> e </w:t>
      </w:r>
      <w:r w:rsidRPr="0070096C">
        <w:rPr>
          <w:rFonts w:ascii="Times New Roman" w:eastAsia="Times New Roman" w:hAnsi="Times New Roman"/>
          <w:i/>
          <w:iCs/>
          <w:sz w:val="20"/>
          <w:szCs w:val="20"/>
          <w:lang w:eastAsia="it-IT"/>
        </w:rPr>
        <w:t>”Password”</w:t>
      </w:r>
      <w:r w:rsidRPr="0070096C">
        <w:rPr>
          <w:rFonts w:ascii="Times New Roman" w:eastAsia="Times New Roman" w:hAnsi="Times New Roman"/>
          <w:i/>
          <w:sz w:val="20"/>
          <w:szCs w:val="20"/>
          <w:lang w:eastAsia="it-IT"/>
        </w:rPr>
        <w:t xml:space="preserve"> per l’accesso ai sistemi informatici. Il nome utente sarà identico al codice fiscale del soggetto;</w:t>
      </w:r>
    </w:p>
    <w:p w14:paraId="5E4C5AE5" w14:textId="77777777" w:rsidR="00603F3F" w:rsidRPr="0070096C" w:rsidRDefault="00603F3F" w:rsidP="003E3269">
      <w:pPr>
        <w:widowControl w:val="0"/>
        <w:numPr>
          <w:ilvl w:val="0"/>
          <w:numId w:val="15"/>
        </w:numPr>
        <w:tabs>
          <w:tab w:val="clear" w:pos="720"/>
        </w:tabs>
        <w:spacing w:after="0"/>
        <w:ind w:left="284" w:hanging="284"/>
        <w:jc w:val="both"/>
        <w:rPr>
          <w:rFonts w:ascii="Times New Roman" w:eastAsia="Times New Roman" w:hAnsi="Times New Roman"/>
          <w:i/>
          <w:sz w:val="20"/>
          <w:szCs w:val="20"/>
          <w:lang w:eastAsia="it-IT"/>
        </w:rPr>
      </w:pPr>
      <w:r w:rsidRPr="0070096C">
        <w:rPr>
          <w:rFonts w:ascii="Times New Roman" w:eastAsia="Times New Roman" w:hAnsi="Times New Roman"/>
          <w:i/>
          <w:sz w:val="20"/>
          <w:szCs w:val="20"/>
          <w:lang w:eastAsia="it-IT"/>
        </w:rPr>
        <w:t xml:space="preserve">autenticarsi mediante i suddetti </w:t>
      </w:r>
      <w:r w:rsidRPr="0070096C">
        <w:rPr>
          <w:rFonts w:ascii="Times New Roman" w:eastAsia="Times New Roman" w:hAnsi="Times New Roman"/>
          <w:i/>
          <w:iCs/>
          <w:sz w:val="20"/>
          <w:szCs w:val="20"/>
          <w:lang w:eastAsia="it-IT"/>
        </w:rPr>
        <w:t>“Nome utente</w:t>
      </w:r>
      <w:r w:rsidRPr="0070096C">
        <w:rPr>
          <w:rFonts w:ascii="Times New Roman" w:eastAsia="Times New Roman" w:hAnsi="Times New Roman"/>
          <w:i/>
          <w:sz w:val="20"/>
          <w:szCs w:val="20"/>
          <w:lang w:eastAsia="it-IT"/>
        </w:rPr>
        <w:t>” e “</w:t>
      </w:r>
      <w:r w:rsidRPr="0070096C">
        <w:rPr>
          <w:rFonts w:ascii="Times New Roman" w:eastAsia="Times New Roman" w:hAnsi="Times New Roman"/>
          <w:i/>
          <w:iCs/>
          <w:sz w:val="20"/>
          <w:szCs w:val="20"/>
          <w:lang w:eastAsia="it-IT"/>
        </w:rPr>
        <w:t>Password”</w:t>
      </w:r>
      <w:r w:rsidRPr="0070096C">
        <w:rPr>
          <w:rFonts w:ascii="Times New Roman" w:eastAsia="Times New Roman" w:hAnsi="Times New Roman"/>
          <w:i/>
          <w:sz w:val="20"/>
          <w:szCs w:val="20"/>
          <w:lang w:eastAsia="it-IT"/>
        </w:rPr>
        <w:t xml:space="preserve"> al portale internet dell’Autorità all’indirizzo internet </w:t>
      </w:r>
      <w:r w:rsidRPr="0070096C">
        <w:rPr>
          <w:rFonts w:ascii="Times New Roman" w:eastAsia="Times New Roman" w:hAnsi="Times New Roman"/>
          <w:i/>
          <w:iCs/>
          <w:sz w:val="20"/>
          <w:szCs w:val="20"/>
          <w:lang w:eastAsia="it-IT"/>
        </w:rPr>
        <w:t>https://servizi.avcp.it/</w:t>
      </w:r>
      <w:r w:rsidRPr="0070096C">
        <w:rPr>
          <w:rFonts w:ascii="Times New Roman" w:eastAsia="Times New Roman" w:hAnsi="Times New Roman"/>
          <w:i/>
          <w:sz w:val="20"/>
          <w:szCs w:val="20"/>
          <w:lang w:eastAsia="it-IT"/>
        </w:rPr>
        <w:t>;</w:t>
      </w:r>
    </w:p>
    <w:p w14:paraId="3247EDAA" w14:textId="77777777" w:rsidR="00603F3F" w:rsidRPr="0070096C" w:rsidRDefault="00603F3F" w:rsidP="003E3269">
      <w:pPr>
        <w:widowControl w:val="0"/>
        <w:numPr>
          <w:ilvl w:val="0"/>
          <w:numId w:val="15"/>
        </w:numPr>
        <w:tabs>
          <w:tab w:val="clear" w:pos="720"/>
        </w:tabs>
        <w:spacing w:after="0"/>
        <w:ind w:left="284" w:hanging="284"/>
        <w:jc w:val="both"/>
        <w:rPr>
          <w:rFonts w:ascii="Times New Roman" w:eastAsia="Times New Roman" w:hAnsi="Times New Roman"/>
          <w:i/>
          <w:sz w:val="20"/>
          <w:szCs w:val="20"/>
          <w:lang w:eastAsia="it-IT"/>
        </w:rPr>
      </w:pPr>
      <w:r w:rsidRPr="0070096C">
        <w:rPr>
          <w:rFonts w:ascii="Times New Roman" w:eastAsia="Times New Roman" w:hAnsi="Times New Roman"/>
          <w:i/>
          <w:sz w:val="20"/>
          <w:szCs w:val="20"/>
          <w:lang w:eastAsia="it-IT"/>
        </w:rPr>
        <w:t xml:space="preserve">richiedere l’associazione delle proprie credenziali al profilo di RASA - Responsabile Anagrafe Stazione Appaltante, secondo le modalità operative dettagliate nel manuale utente pubblicato all’indirizzo URL </w:t>
      </w:r>
      <w:hyperlink r:id="rId19" w:tooltip="manuali" w:history="1">
        <w:r w:rsidRPr="0070096C">
          <w:rPr>
            <w:rFonts w:ascii="Times New Roman" w:eastAsia="Times New Roman" w:hAnsi="Times New Roman"/>
            <w:i/>
            <w:color w:val="0000FF"/>
            <w:sz w:val="20"/>
            <w:szCs w:val="20"/>
            <w:u w:val="single"/>
            <w:lang w:eastAsia="it-IT"/>
          </w:rPr>
          <w:t>http://www.avcp.it/portal/public/classic/Servizi/Manuali</w:t>
        </w:r>
      </w:hyperlink>
      <w:r w:rsidRPr="0070096C">
        <w:rPr>
          <w:rFonts w:ascii="Times New Roman" w:eastAsia="Times New Roman" w:hAnsi="Times New Roman"/>
          <w:i/>
          <w:sz w:val="20"/>
          <w:szCs w:val="20"/>
          <w:lang w:eastAsia="it-IT"/>
        </w:rPr>
        <w:t>;</w:t>
      </w:r>
    </w:p>
    <w:p w14:paraId="0C7570DF" w14:textId="77777777" w:rsidR="00603F3F" w:rsidRPr="004F5AE2" w:rsidRDefault="00603F3F" w:rsidP="003E3269">
      <w:pPr>
        <w:widowControl w:val="0"/>
        <w:numPr>
          <w:ilvl w:val="0"/>
          <w:numId w:val="15"/>
        </w:numPr>
        <w:tabs>
          <w:tab w:val="clear" w:pos="720"/>
        </w:tabs>
        <w:spacing w:after="0"/>
        <w:ind w:left="284" w:hanging="284"/>
        <w:jc w:val="both"/>
        <w:rPr>
          <w:rFonts w:ascii="Times New Roman" w:eastAsia="Times New Roman" w:hAnsi="Times New Roman"/>
          <w:sz w:val="20"/>
          <w:szCs w:val="20"/>
          <w:lang w:eastAsia="it-IT"/>
        </w:rPr>
      </w:pPr>
      <w:r w:rsidRPr="0070096C">
        <w:rPr>
          <w:rFonts w:ascii="Times New Roman" w:eastAsia="Times New Roman" w:hAnsi="Times New Roman"/>
          <w:i/>
          <w:sz w:val="20"/>
          <w:szCs w:val="20"/>
          <w:lang w:eastAsia="it-IT"/>
        </w:rPr>
        <w:t>inserire ed inviare le informazioni richieste riguardanti il proprio profilo e riscontrarne la correttezza nella sezione “</w:t>
      </w:r>
      <w:r w:rsidRPr="0070096C">
        <w:rPr>
          <w:rFonts w:ascii="Times New Roman" w:eastAsia="Times New Roman" w:hAnsi="Times New Roman"/>
          <w:i/>
          <w:iCs/>
          <w:sz w:val="20"/>
          <w:szCs w:val="20"/>
          <w:lang w:eastAsia="it-IT"/>
        </w:rPr>
        <w:t>Profili in attesa di attivazione</w:t>
      </w:r>
      <w:r w:rsidRPr="0070096C">
        <w:rPr>
          <w:rFonts w:ascii="Times New Roman" w:eastAsia="Times New Roman" w:hAnsi="Times New Roman"/>
          <w:i/>
          <w:sz w:val="20"/>
          <w:szCs w:val="20"/>
          <w:lang w:eastAsia="it-IT"/>
        </w:rPr>
        <w:t>”.”</w:t>
      </w:r>
    </w:p>
    <w:p w14:paraId="1077D3E3" w14:textId="77777777" w:rsidR="00603F3F" w:rsidRPr="00683DFB" w:rsidRDefault="00603F3F" w:rsidP="00603F3F">
      <w:pPr>
        <w:widowControl w:val="0"/>
        <w:spacing w:after="0"/>
        <w:jc w:val="both"/>
        <w:outlineLvl w:val="2"/>
        <w:rPr>
          <w:rFonts w:ascii="Times New Roman" w:hAnsi="Times New Roman"/>
          <w:sz w:val="20"/>
          <w:szCs w:val="20"/>
        </w:rPr>
      </w:pPr>
    </w:p>
    <w:p w14:paraId="3B68BE26" w14:textId="0A5CEC36"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bCs/>
          <w:sz w:val="20"/>
          <w:szCs w:val="20"/>
        </w:rPr>
        <w:t>Con la Delibera A.N.AC. n. 831/2016 “</w:t>
      </w:r>
      <w:r w:rsidRPr="00683DFB">
        <w:rPr>
          <w:rFonts w:ascii="Times New Roman" w:hAnsi="Times New Roman"/>
          <w:bCs/>
          <w:i/>
          <w:sz w:val="20"/>
          <w:szCs w:val="20"/>
        </w:rPr>
        <w:t>Determinazione di approvazione definitiva del Piano Nazionale Anticorruzione 2016</w:t>
      </w:r>
      <w:r w:rsidRPr="00683DFB">
        <w:rPr>
          <w:rFonts w:ascii="Times New Roman" w:hAnsi="Times New Roman"/>
          <w:bCs/>
          <w:sz w:val="20"/>
          <w:szCs w:val="20"/>
        </w:rPr>
        <w:t xml:space="preserve">” al punto </w:t>
      </w:r>
      <w:r w:rsidRPr="00683DFB">
        <w:rPr>
          <w:rFonts w:ascii="Times New Roman" w:hAnsi="Times New Roman"/>
          <w:sz w:val="20"/>
          <w:szCs w:val="20"/>
        </w:rPr>
        <w:t>5.2 “</w:t>
      </w:r>
      <w:r w:rsidRPr="00683DFB">
        <w:rPr>
          <w:rFonts w:ascii="Times New Roman" w:hAnsi="Times New Roman"/>
          <w:i/>
          <w:sz w:val="20"/>
          <w:szCs w:val="20"/>
        </w:rPr>
        <w:t>Responsabile della prevenzione della corruzione e della trasparenza</w:t>
      </w:r>
      <w:r w:rsidRPr="00683DFB">
        <w:rPr>
          <w:rFonts w:ascii="Times New Roman" w:hAnsi="Times New Roman"/>
          <w:sz w:val="20"/>
          <w:szCs w:val="20"/>
        </w:rPr>
        <w:t>” lett. f) “</w:t>
      </w:r>
      <w:r w:rsidRPr="00683DFB">
        <w:rPr>
          <w:rFonts w:ascii="Times New Roman" w:hAnsi="Times New Roman"/>
          <w:i/>
          <w:sz w:val="20"/>
          <w:szCs w:val="20"/>
        </w:rPr>
        <w:t>RPCT e RASA</w:t>
      </w:r>
      <w:r w:rsidRPr="00683DFB">
        <w:rPr>
          <w:rFonts w:ascii="Times New Roman" w:hAnsi="Times New Roman"/>
          <w:sz w:val="20"/>
          <w:szCs w:val="20"/>
        </w:rPr>
        <w:t>” è stato ribadito che:</w:t>
      </w:r>
      <w:r>
        <w:rPr>
          <w:rFonts w:ascii="Times New Roman" w:hAnsi="Times New Roman"/>
          <w:sz w:val="20"/>
          <w:szCs w:val="20"/>
        </w:rPr>
        <w:t xml:space="preserve"> </w:t>
      </w:r>
      <w:r w:rsidRPr="00683DFB">
        <w:rPr>
          <w:rFonts w:ascii="Times New Roman" w:hAnsi="Times New Roman"/>
          <w:sz w:val="20"/>
          <w:szCs w:val="20"/>
        </w:rPr>
        <w:t>“</w:t>
      </w:r>
      <w:r w:rsidRPr="00683DFB">
        <w:rPr>
          <w:rFonts w:ascii="Times New Roman" w:hAnsi="Times New Roman"/>
          <w:i/>
          <w:iCs/>
          <w:sz w:val="20"/>
          <w:szCs w:val="20"/>
        </w:rPr>
        <w:t xml:space="preserve">Al fine di assicurare l’effettivo inserimento dei dati nell’Anagrafe unica delle stazioni appaltanti (AUSA), il RPCT è tenuto a sollecitare l’individuazione del soggetto preposto all’iscrizione e all’aggiornamento dei dati </w:t>
      </w:r>
      <w:r w:rsidRPr="00683DFB">
        <w:rPr>
          <w:rFonts w:ascii="Times New Roman" w:hAnsi="Times New Roman"/>
          <w:b/>
          <w:i/>
          <w:iCs/>
          <w:sz w:val="20"/>
          <w:szCs w:val="20"/>
          <w:u w:val="single"/>
        </w:rPr>
        <w:t>e a indicarne il nome all’interno del PTPC</w:t>
      </w:r>
      <w:r w:rsidRPr="00683DFB">
        <w:rPr>
          <w:rFonts w:ascii="Times New Roman" w:hAnsi="Times New Roman"/>
          <w:i/>
          <w:iCs/>
          <w:sz w:val="20"/>
          <w:szCs w:val="20"/>
        </w:rPr>
        <w:t>.</w:t>
      </w:r>
    </w:p>
    <w:p w14:paraId="3C537AA4" w14:textId="22373B28"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i/>
          <w:iCs/>
          <w:sz w:val="20"/>
          <w:szCs w:val="20"/>
        </w:rPr>
        <w:t xml:space="preserve">Occorre considerare, infatti, che ogni stazione appaltante è tenuta a nominare il soggetto responsabile (RASA) dell’inserimento e dell’aggiornamento annuale degli elementi identificativi della stazione appaltante stessa. Si evidenzia, al riguardo, che tale obbligo informativo - consistente nella implementazione della BDNCP presso l’ANAC dei dati relativi all’anagrafica della s.a., della classificazione della stessa e dell’articolazione in centri di costo - sussiste fino alla data di entrata in vigore del sistema di qualificazione delle stazioni appaltanti previsto dall’art. 38 del nuovo Codice dei contratti pubblici (cfr. la disciplina transitoria di cui all’art. 216, co. 10, del </w:t>
      </w:r>
      <w:r w:rsidR="0070096C">
        <w:rPr>
          <w:rFonts w:ascii="Times New Roman" w:hAnsi="Times New Roman"/>
          <w:i/>
          <w:iCs/>
          <w:sz w:val="20"/>
          <w:szCs w:val="20"/>
        </w:rPr>
        <w:t>D.</w:t>
      </w:r>
      <w:r>
        <w:rPr>
          <w:rFonts w:ascii="Times New Roman" w:hAnsi="Times New Roman"/>
          <w:i/>
          <w:iCs/>
          <w:sz w:val="20"/>
          <w:szCs w:val="20"/>
        </w:rPr>
        <w:t>Lgs</w:t>
      </w:r>
      <w:r w:rsidRPr="00683DFB">
        <w:rPr>
          <w:rFonts w:ascii="Times New Roman" w:hAnsi="Times New Roman"/>
          <w:i/>
          <w:iCs/>
          <w:sz w:val="20"/>
          <w:szCs w:val="20"/>
        </w:rPr>
        <w:t>. 50/2016).</w:t>
      </w:r>
    </w:p>
    <w:p w14:paraId="6994C050" w14:textId="77777777"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i/>
          <w:iCs/>
          <w:sz w:val="20"/>
          <w:szCs w:val="20"/>
        </w:rPr>
        <w:t>L’individuazione del RASA è intesa come misura organizzativa di trasparenza in funzione di prevenzione della corruzione.</w:t>
      </w:r>
    </w:p>
    <w:p w14:paraId="0AA2BBFF" w14:textId="06408630" w:rsidR="00603F3F" w:rsidRPr="00683DFB" w:rsidRDefault="00603F3F" w:rsidP="00603F3F">
      <w:pPr>
        <w:widowControl w:val="0"/>
        <w:spacing w:after="0"/>
        <w:jc w:val="both"/>
        <w:rPr>
          <w:rFonts w:ascii="Times New Roman" w:hAnsi="Times New Roman"/>
          <w:i/>
          <w:iCs/>
          <w:sz w:val="20"/>
          <w:szCs w:val="20"/>
        </w:rPr>
      </w:pPr>
      <w:r w:rsidRPr="00683DFB">
        <w:rPr>
          <w:rFonts w:ascii="Times New Roman" w:hAnsi="Times New Roman"/>
          <w:i/>
          <w:iCs/>
          <w:sz w:val="20"/>
          <w:szCs w:val="20"/>
        </w:rPr>
        <w:t>In caso di mancata indicazione nel PTPC del nominativo del RASA, previa richiesta di chiarimenti al RPCT, l’Autorità si riserva di esercitare il potere di ordine ai sensi dell’art. 1, co. 3, della l. 190/2012, nei confronti dell’</w:t>
      </w:r>
      <w:r w:rsidR="002A7570">
        <w:rPr>
          <w:rFonts w:ascii="Times New Roman" w:hAnsi="Times New Roman"/>
          <w:i/>
          <w:iCs/>
          <w:sz w:val="20"/>
          <w:szCs w:val="20"/>
        </w:rPr>
        <w:t>Amministratore Unico</w:t>
      </w:r>
      <w:r w:rsidR="00B77338">
        <w:rPr>
          <w:rFonts w:ascii="Times New Roman" w:hAnsi="Times New Roman"/>
          <w:i/>
          <w:iCs/>
          <w:sz w:val="20"/>
          <w:szCs w:val="20"/>
        </w:rPr>
        <w:t xml:space="preserve"> </w:t>
      </w:r>
      <w:r w:rsidRPr="00683DFB">
        <w:rPr>
          <w:rFonts w:ascii="Times New Roman" w:hAnsi="Times New Roman"/>
          <w:i/>
          <w:iCs/>
          <w:sz w:val="20"/>
          <w:szCs w:val="20"/>
        </w:rPr>
        <w:t>di vertice, che, nel silenzio del legislatore, si ritiene il soggetto più idoneo a rispondere dell’eventuale mancata nomina del RASA. Nel caso di omissione da parte del RPCT, il potere di ordine viene esercitato nei confronti di quest’ultimo.</w:t>
      </w:r>
      <w:r>
        <w:rPr>
          <w:rFonts w:ascii="Times New Roman" w:hAnsi="Times New Roman"/>
          <w:i/>
          <w:iCs/>
          <w:sz w:val="20"/>
          <w:szCs w:val="20"/>
        </w:rPr>
        <w:t xml:space="preserve"> …”</w:t>
      </w:r>
    </w:p>
    <w:p w14:paraId="2012CD93" w14:textId="77777777" w:rsidR="00603F3F" w:rsidRDefault="00603F3F" w:rsidP="00603F3F">
      <w:pPr>
        <w:widowControl w:val="0"/>
        <w:autoSpaceDE w:val="0"/>
        <w:autoSpaceDN w:val="0"/>
        <w:adjustRightInd w:val="0"/>
        <w:spacing w:after="0"/>
        <w:jc w:val="both"/>
        <w:rPr>
          <w:rFonts w:ascii="Times New Roman" w:hAnsi="Times New Roman"/>
          <w:color w:val="000000"/>
          <w:sz w:val="20"/>
          <w:szCs w:val="20"/>
        </w:rPr>
      </w:pPr>
    </w:p>
    <w:p w14:paraId="0C655320" w14:textId="4DDD069A" w:rsidR="00603F3F" w:rsidRDefault="00603F3F" w:rsidP="00603F3F">
      <w:pPr>
        <w:widowControl w:val="0"/>
        <w:autoSpaceDE w:val="0"/>
        <w:autoSpaceDN w:val="0"/>
        <w:adjustRightInd w:val="0"/>
        <w:spacing w:after="0"/>
        <w:jc w:val="both"/>
        <w:rPr>
          <w:rFonts w:ascii="Times New Roman" w:hAnsi="Times New Roman"/>
          <w:color w:val="000000"/>
          <w:sz w:val="20"/>
          <w:szCs w:val="20"/>
        </w:rPr>
      </w:pPr>
      <w:r w:rsidRPr="00BE69D2">
        <w:rPr>
          <w:rFonts w:ascii="Times New Roman" w:hAnsi="Times New Roman"/>
          <w:color w:val="000000"/>
          <w:sz w:val="20"/>
          <w:szCs w:val="20"/>
        </w:rPr>
        <w:t xml:space="preserve">Nominativo RASA: </w:t>
      </w:r>
      <w:r w:rsidR="00BE69D2" w:rsidRPr="00BE69D2">
        <w:rPr>
          <w:rFonts w:ascii="Times New Roman" w:hAnsi="Times New Roman"/>
          <w:color w:val="000000"/>
          <w:sz w:val="20"/>
          <w:szCs w:val="20"/>
        </w:rPr>
        <w:t>Michele Bernardini</w:t>
      </w:r>
    </w:p>
    <w:p w14:paraId="2632BA7C" w14:textId="77777777" w:rsidR="00603F3F" w:rsidRPr="00486A76" w:rsidRDefault="00603F3F" w:rsidP="00603F3F">
      <w:pPr>
        <w:widowControl w:val="0"/>
        <w:autoSpaceDE w:val="0"/>
        <w:autoSpaceDN w:val="0"/>
        <w:adjustRightInd w:val="0"/>
        <w:spacing w:after="0"/>
        <w:jc w:val="both"/>
        <w:rPr>
          <w:rFonts w:ascii="Times New Roman" w:hAnsi="Times New Roman"/>
          <w:color w:val="000000"/>
          <w:sz w:val="20"/>
          <w:szCs w:val="20"/>
        </w:rPr>
      </w:pPr>
    </w:p>
    <w:p w14:paraId="0328E1F2" w14:textId="77777777" w:rsidR="00603F3F" w:rsidRPr="00CD7FBE" w:rsidRDefault="00603F3F" w:rsidP="003E3269">
      <w:pPr>
        <w:pStyle w:val="Titolo3"/>
        <w:keepNext w:val="0"/>
        <w:widowControl w:val="0"/>
        <w:numPr>
          <w:ilvl w:val="1"/>
          <w:numId w:val="31"/>
        </w:numPr>
        <w:spacing w:line="276" w:lineRule="auto"/>
        <w:ind w:left="567" w:hanging="567"/>
        <w:contextualSpacing w:val="0"/>
      </w:pPr>
      <w:bookmarkStart w:id="675" w:name="_Toc499709253"/>
      <w:bookmarkStart w:id="676" w:name="_Toc499709436"/>
      <w:bookmarkStart w:id="677" w:name="_Toc499709621"/>
      <w:bookmarkStart w:id="678" w:name="_Toc499709805"/>
      <w:bookmarkStart w:id="679" w:name="_Toc499709989"/>
      <w:bookmarkStart w:id="680" w:name="_Toc499710175"/>
      <w:bookmarkStart w:id="681" w:name="_Toc499797233"/>
      <w:bookmarkStart w:id="682" w:name="_Toc499880446"/>
      <w:bookmarkStart w:id="683" w:name="_Toc499881315"/>
      <w:bookmarkStart w:id="684" w:name="_Toc499883511"/>
      <w:bookmarkStart w:id="685" w:name="_Toc499883727"/>
      <w:bookmarkStart w:id="686" w:name="_Toc499883943"/>
      <w:bookmarkStart w:id="687" w:name="_Toc499884133"/>
      <w:bookmarkStart w:id="688" w:name="_Toc500232380"/>
      <w:bookmarkStart w:id="689" w:name="_Toc499709254"/>
      <w:bookmarkStart w:id="690" w:name="_Toc499709437"/>
      <w:bookmarkStart w:id="691" w:name="_Toc499709622"/>
      <w:bookmarkStart w:id="692" w:name="_Toc499709806"/>
      <w:bookmarkStart w:id="693" w:name="_Toc499709990"/>
      <w:bookmarkStart w:id="694" w:name="_Toc499710176"/>
      <w:bookmarkStart w:id="695" w:name="_Toc499797234"/>
      <w:bookmarkStart w:id="696" w:name="_Toc499880447"/>
      <w:bookmarkStart w:id="697" w:name="_Toc499881316"/>
      <w:bookmarkStart w:id="698" w:name="_Toc499883512"/>
      <w:bookmarkStart w:id="699" w:name="_Toc499883728"/>
      <w:bookmarkStart w:id="700" w:name="_Toc499883944"/>
      <w:bookmarkStart w:id="701" w:name="_Toc499884134"/>
      <w:bookmarkStart w:id="702" w:name="_Toc500232381"/>
      <w:bookmarkStart w:id="703" w:name="_Toc454796244"/>
      <w:bookmarkStart w:id="704" w:name="_Toc454796306"/>
      <w:bookmarkStart w:id="705" w:name="_Toc535854470"/>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t>Il r</w:t>
      </w:r>
      <w:r w:rsidRPr="00CD7FBE">
        <w:t xml:space="preserve">eclutamento e </w:t>
      </w:r>
      <w:r>
        <w:t xml:space="preserve">le </w:t>
      </w:r>
      <w:r w:rsidRPr="00CD7FBE">
        <w:t>progressioni di carriera del personale</w:t>
      </w:r>
      <w:bookmarkEnd w:id="703"/>
      <w:bookmarkEnd w:id="704"/>
      <w:bookmarkEnd w:id="705"/>
    </w:p>
    <w:p w14:paraId="15B9874F" w14:textId="0D7334BF"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Per ciò che concerne le attività di reclutamento e progressioni di carriera del personale, la </w:t>
      </w:r>
      <w:r>
        <w:rPr>
          <w:rFonts w:ascii="Times New Roman" w:hAnsi="Times New Roman" w:cs="Times New Roman"/>
          <w:sz w:val="20"/>
          <w:szCs w:val="20"/>
        </w:rPr>
        <w:t>società</w:t>
      </w:r>
      <w:r w:rsidRPr="00CD7FBE">
        <w:rPr>
          <w:rFonts w:ascii="Times New Roman" w:hAnsi="Times New Roman" w:cs="Times New Roman"/>
          <w:sz w:val="20"/>
          <w:szCs w:val="20"/>
        </w:rPr>
        <w:t xml:space="preserve"> si è dotata – tra gli altri – del Regolamento sul reclutamento e sulle progressioni di carriera del personale e sul conferimento degli incarichi in attuazione dell'art. 18, secondo comma, D.L. n. 112/2008, convertito con Legge 6 agosto 2008, n. 133</w:t>
      </w:r>
      <w:r w:rsidRPr="00CD7FBE">
        <w:rPr>
          <w:rStyle w:val="Rimandonotadichiusura"/>
          <w:rFonts w:ascii="Times New Roman" w:hAnsi="Times New Roman" w:cs="Times New Roman"/>
          <w:sz w:val="20"/>
          <w:szCs w:val="20"/>
        </w:rPr>
        <w:endnoteReference w:id="70"/>
      </w:r>
      <w:r w:rsidRPr="00CD7FBE">
        <w:rPr>
          <w:rFonts w:ascii="Times New Roman" w:hAnsi="Times New Roman" w:cs="Times New Roman"/>
          <w:sz w:val="20"/>
          <w:szCs w:val="20"/>
        </w:rPr>
        <w:t>, ispirandosi ai principi, anche di derivazione comunitaria, di trasparenza, pubblicità e imparzialità. Il regolamento disciplina anche la procedura relativa all</w:t>
      </w:r>
      <w:r>
        <w:rPr>
          <w:rFonts w:ascii="Times New Roman" w:hAnsi="Times New Roman" w:cs="Times New Roman"/>
          <w:sz w:val="20"/>
          <w:szCs w:val="20"/>
        </w:rPr>
        <w:t>e</w:t>
      </w:r>
      <w:r w:rsidRPr="00CD7FBE">
        <w:rPr>
          <w:rFonts w:ascii="Times New Roman" w:hAnsi="Times New Roman" w:cs="Times New Roman"/>
          <w:sz w:val="20"/>
          <w:szCs w:val="20"/>
        </w:rPr>
        <w:t xml:space="preserve"> progressioni di carriera, nonché quella di assegnazione di specifiche funzioni/responsabilità. La </w:t>
      </w:r>
      <w:r>
        <w:rPr>
          <w:rFonts w:ascii="Times New Roman" w:hAnsi="Times New Roman" w:cs="Times New Roman"/>
          <w:sz w:val="20"/>
          <w:szCs w:val="20"/>
        </w:rPr>
        <w:t>società</w:t>
      </w:r>
      <w:r w:rsidRPr="00CD7FBE">
        <w:rPr>
          <w:rFonts w:ascii="Times New Roman" w:hAnsi="Times New Roman" w:cs="Times New Roman"/>
          <w:sz w:val="20"/>
          <w:szCs w:val="20"/>
        </w:rPr>
        <w:t xml:space="preserve"> procede alla selezione del personale, assicurando celerità ed economicità di espletamento, nel rispetto dei divieti di discriminazione e del principio di pari opportunità, previsti dalla normativa nazionale e comunitaria. Le procedure di reclutamento si conformano ai seguenti principi:</w:t>
      </w:r>
    </w:p>
    <w:p w14:paraId="09889CBF"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CD7FBE">
        <w:rPr>
          <w:rFonts w:ascii="Times New Roman" w:hAnsi="Times New Roman" w:cs="Times New Roman"/>
          <w:sz w:val="20"/>
          <w:szCs w:val="20"/>
        </w:rPr>
        <w:t>a)</w:t>
      </w:r>
      <w:r w:rsidRPr="00CD7FBE">
        <w:rPr>
          <w:rFonts w:ascii="Times New Roman" w:hAnsi="Times New Roman" w:cs="Times New Roman"/>
          <w:sz w:val="20"/>
          <w:szCs w:val="20"/>
        </w:rPr>
        <w:tab/>
      </w:r>
      <w:r w:rsidRPr="0070096C">
        <w:rPr>
          <w:rFonts w:ascii="Times New Roman" w:hAnsi="Times New Roman" w:cs="Times New Roman"/>
          <w:i/>
          <w:sz w:val="20"/>
          <w:szCs w:val="20"/>
        </w:rPr>
        <w:t>adozione di meccanismi oggettivi e trasparenti idonei a verificare il possesso dei requisiti attitudinali e professionali richiesti; trasparenza, intesa come possibilità per chiunque di conoscere modalità e criteri di partecipazione e valutazione, nonché gli esiti finali;</w:t>
      </w:r>
    </w:p>
    <w:p w14:paraId="58F203F5"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b)</w:t>
      </w:r>
      <w:r w:rsidRPr="0070096C">
        <w:rPr>
          <w:rFonts w:ascii="Times New Roman" w:hAnsi="Times New Roman" w:cs="Times New Roman"/>
          <w:i/>
          <w:sz w:val="20"/>
          <w:szCs w:val="20"/>
        </w:rPr>
        <w:tab/>
        <w:t xml:space="preserve">pubblicità, attraverso la divulgazione, sui siti web e/o mediante idonei mezzi di diffusione delle notizie circa le occasioni di lavoro disponibili; </w:t>
      </w:r>
    </w:p>
    <w:p w14:paraId="578EAD29"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c)</w:t>
      </w:r>
      <w:r w:rsidRPr="0070096C">
        <w:rPr>
          <w:rFonts w:ascii="Times New Roman" w:hAnsi="Times New Roman" w:cs="Times New Roman"/>
          <w:i/>
          <w:sz w:val="20"/>
          <w:szCs w:val="20"/>
        </w:rPr>
        <w:tab/>
        <w:t>imparzialità, attraverso l'individuazione di criteri oggettivi di verifica dei requisiti attitudinali e professionali richiesti in relazione alla posizione da ricoprire;</w:t>
      </w:r>
    </w:p>
    <w:p w14:paraId="1795F1F6" w14:textId="7777777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d)</w:t>
      </w:r>
      <w:r w:rsidRPr="0070096C">
        <w:rPr>
          <w:rFonts w:ascii="Times New Roman" w:hAnsi="Times New Roman" w:cs="Times New Roman"/>
          <w:i/>
          <w:sz w:val="20"/>
          <w:szCs w:val="20"/>
        </w:rPr>
        <w:tab/>
        <w:t>rispetto delle pari opportunità tra lavoratrici e lavoratori;</w:t>
      </w:r>
    </w:p>
    <w:p w14:paraId="6E702BB4" w14:textId="642E66C1"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e)</w:t>
      </w:r>
      <w:r w:rsidRPr="0070096C">
        <w:rPr>
          <w:rFonts w:ascii="Times New Roman" w:hAnsi="Times New Roman" w:cs="Times New Roman"/>
          <w:i/>
          <w:sz w:val="20"/>
          <w:szCs w:val="20"/>
        </w:rPr>
        <w:tab/>
        <w:t>pubblicazione nella sezione “società Trasparente” sotto sezione “Bandi di concorso” del sito internet aziendale ex art. 1, comma 16 lett. d) Legge n. 190/2012</w:t>
      </w:r>
      <w:r w:rsidRPr="0070096C">
        <w:rPr>
          <w:rStyle w:val="Rimandonotadichiusura"/>
          <w:rFonts w:ascii="Times New Roman" w:hAnsi="Times New Roman" w:cs="Times New Roman"/>
          <w:i/>
          <w:sz w:val="20"/>
          <w:szCs w:val="20"/>
        </w:rPr>
        <w:endnoteReference w:id="71"/>
      </w:r>
      <w:r w:rsidRPr="0070096C">
        <w:rPr>
          <w:rFonts w:ascii="Times New Roman" w:hAnsi="Times New Roman" w:cs="Times New Roman"/>
          <w:i/>
          <w:sz w:val="20"/>
          <w:szCs w:val="20"/>
        </w:rPr>
        <w:t xml:space="preserve"> e art. 19 </w:t>
      </w:r>
      <w:r w:rsidR="001F4D54" w:rsidRPr="0070096C">
        <w:rPr>
          <w:rFonts w:ascii="Times New Roman" w:hAnsi="Times New Roman" w:cs="Times New Roman"/>
          <w:i/>
          <w:sz w:val="20"/>
          <w:szCs w:val="20"/>
        </w:rPr>
        <w:t>D.</w:t>
      </w:r>
      <w:r w:rsidRPr="0070096C">
        <w:rPr>
          <w:rFonts w:ascii="Times New Roman" w:hAnsi="Times New Roman" w:cs="Times New Roman"/>
          <w:i/>
          <w:sz w:val="20"/>
          <w:szCs w:val="20"/>
        </w:rPr>
        <w:t>Lgs.</w:t>
      </w:r>
      <w:bookmarkStart w:id="706" w:name="_Toc473547425"/>
      <w:r w:rsidRPr="0070096C">
        <w:rPr>
          <w:rFonts w:ascii="Times New Roman" w:hAnsi="Times New Roman" w:cs="Times New Roman"/>
          <w:i/>
          <w:sz w:val="20"/>
          <w:szCs w:val="20"/>
        </w:rPr>
        <w:t xml:space="preserve"> n. 33/2013</w:t>
      </w:r>
      <w:r w:rsidRPr="0070096C">
        <w:rPr>
          <w:rStyle w:val="Rimandonotadichiusura"/>
          <w:rFonts w:ascii="Times New Roman" w:hAnsi="Times New Roman" w:cs="Times New Roman"/>
          <w:i/>
          <w:sz w:val="20"/>
          <w:szCs w:val="20"/>
        </w:rPr>
        <w:endnoteReference w:id="72"/>
      </w:r>
      <w:r w:rsidRPr="0070096C">
        <w:rPr>
          <w:rFonts w:ascii="Times New Roman" w:hAnsi="Times New Roman" w:cs="Times New Roman"/>
          <w:i/>
          <w:sz w:val="20"/>
          <w:szCs w:val="20"/>
        </w:rPr>
        <w:t>.</w:t>
      </w:r>
    </w:p>
    <w:p w14:paraId="60498137"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30DF6634" w14:textId="48D8B338"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In considerazione della definizione dell’attività svolta dalla </w:t>
      </w:r>
      <w:r>
        <w:rPr>
          <w:rFonts w:ascii="Times New Roman" w:hAnsi="Times New Roman" w:cs="Times New Roman"/>
          <w:sz w:val="20"/>
          <w:szCs w:val="20"/>
        </w:rPr>
        <w:t xml:space="preserve">società </w:t>
      </w:r>
      <w:r w:rsidRPr="00CD7FBE">
        <w:rPr>
          <w:rFonts w:ascii="Times New Roman" w:hAnsi="Times New Roman" w:cs="Times New Roman"/>
          <w:sz w:val="20"/>
          <w:szCs w:val="20"/>
        </w:rPr>
        <w:t xml:space="preserve">contenuta nello Statuto societario e della natura di </w:t>
      </w:r>
      <w:r w:rsidRPr="00BE69D2">
        <w:rPr>
          <w:rFonts w:ascii="Times New Roman" w:hAnsi="Times New Roman" w:cs="Times New Roman"/>
          <w:sz w:val="20"/>
          <w:szCs w:val="20"/>
        </w:rPr>
        <w:t xml:space="preserve">società </w:t>
      </w:r>
      <w:r w:rsidRPr="00BE69D2">
        <w:rPr>
          <w:rFonts w:ascii="Times New Roman" w:hAnsi="Times New Roman" w:cs="Times New Roman"/>
          <w:i/>
          <w:sz w:val="20"/>
          <w:szCs w:val="20"/>
        </w:rPr>
        <w:t>in house</w:t>
      </w:r>
      <w:r w:rsidR="001F4D54" w:rsidRPr="00BE69D2">
        <w:rPr>
          <w:rFonts w:ascii="Times New Roman" w:hAnsi="Times New Roman" w:cs="Times New Roman"/>
          <w:sz w:val="20"/>
          <w:szCs w:val="20"/>
        </w:rPr>
        <w:t xml:space="preserve"> del Comune di Marino</w:t>
      </w:r>
      <w:r w:rsidRPr="00BE69D2">
        <w:rPr>
          <w:rFonts w:ascii="Times New Roman" w:hAnsi="Times New Roman" w:cs="Times New Roman"/>
          <w:sz w:val="20"/>
          <w:szCs w:val="20"/>
        </w:rPr>
        <w:t>, le assunzioni</w:t>
      </w:r>
      <w:r w:rsidRPr="00CD7FBE">
        <w:rPr>
          <w:rFonts w:ascii="Times New Roman" w:hAnsi="Times New Roman" w:cs="Times New Roman"/>
          <w:sz w:val="20"/>
          <w:szCs w:val="20"/>
        </w:rPr>
        <w:t xml:space="preserve"> di personale sono, di regola, connesse alle esigenze di attivazione o ampliamento dei servizi affidati dall’Ente controllante. </w:t>
      </w:r>
    </w:p>
    <w:p w14:paraId="0560A15A"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Il reclutamento del personale avviene attraverso procedure comparative selettive al fine di accertare, secondo principi meritocratici, il possesso della professionalità, delle capacità e delle attitudini richieste per la posizione lavorativa da ricoprire. Per maggiori dettagli si rinvia al Regolamento. </w:t>
      </w:r>
    </w:p>
    <w:p w14:paraId="671A9F9B"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0369FA11"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Le progressioni di carriera (anche scaturenti da assegnazione di specifiche funzioni/responsabilità che potrebbero dar luogo all’acquisizione di un diritto all’adeguamento di un livello/area di inquadramento) vengono attribuite nel rispetto dei principi stabiliti per il reclutamento e comunque a seguito di una procedura finalizzata ad accertare la specifica qualificazione professionale dei candidati e la loro idoneità a ricoprire determinati posti nell’organico, anche in recepimento di quanto sancito dall’art. 1, comma 16 della L. n. 190/2012</w:t>
      </w:r>
      <w:r w:rsidRPr="00CD7FBE">
        <w:rPr>
          <w:rStyle w:val="Rimandonotadichiusura"/>
          <w:rFonts w:ascii="Times New Roman" w:hAnsi="Times New Roman" w:cs="Times New Roman"/>
          <w:sz w:val="20"/>
          <w:szCs w:val="20"/>
        </w:rPr>
        <w:endnoteReference w:id="73"/>
      </w:r>
      <w:r w:rsidRPr="00CD7FBE">
        <w:rPr>
          <w:rFonts w:ascii="Times New Roman" w:hAnsi="Times New Roman" w:cs="Times New Roman"/>
          <w:sz w:val="20"/>
          <w:szCs w:val="20"/>
        </w:rPr>
        <w:t xml:space="preserve"> e del P.N.A. (punto B.1.1.1 dell’</w:t>
      </w:r>
      <w:r>
        <w:rPr>
          <w:rFonts w:ascii="Times New Roman" w:hAnsi="Times New Roman" w:cs="Times New Roman"/>
          <w:sz w:val="20"/>
          <w:szCs w:val="20"/>
        </w:rPr>
        <w:t>a</w:t>
      </w:r>
      <w:r w:rsidRPr="00CD7FBE">
        <w:rPr>
          <w:rFonts w:ascii="Times New Roman" w:hAnsi="Times New Roman" w:cs="Times New Roman"/>
          <w:sz w:val="20"/>
          <w:szCs w:val="20"/>
        </w:rPr>
        <w:t>ll</w:t>
      </w:r>
      <w:r>
        <w:rPr>
          <w:rFonts w:ascii="Times New Roman" w:hAnsi="Times New Roman" w:cs="Times New Roman"/>
          <w:sz w:val="20"/>
          <w:szCs w:val="20"/>
        </w:rPr>
        <w:t>egato</w:t>
      </w:r>
      <w:r w:rsidRPr="00CD7FBE">
        <w:rPr>
          <w:rFonts w:ascii="Times New Roman" w:hAnsi="Times New Roman" w:cs="Times New Roman"/>
          <w:sz w:val="20"/>
          <w:szCs w:val="20"/>
        </w:rPr>
        <w:t xml:space="preserve"> 1 e lett. A dell’</w:t>
      </w:r>
      <w:r>
        <w:rPr>
          <w:rFonts w:ascii="Times New Roman" w:hAnsi="Times New Roman" w:cs="Times New Roman"/>
          <w:sz w:val="20"/>
          <w:szCs w:val="20"/>
        </w:rPr>
        <w:t>a</w:t>
      </w:r>
      <w:r w:rsidRPr="00CD7FBE">
        <w:rPr>
          <w:rFonts w:ascii="Times New Roman" w:hAnsi="Times New Roman" w:cs="Times New Roman"/>
          <w:sz w:val="20"/>
          <w:szCs w:val="20"/>
        </w:rPr>
        <w:t>ll</w:t>
      </w:r>
      <w:r>
        <w:rPr>
          <w:rFonts w:ascii="Times New Roman" w:hAnsi="Times New Roman" w:cs="Times New Roman"/>
          <w:sz w:val="20"/>
          <w:szCs w:val="20"/>
        </w:rPr>
        <w:t>egato</w:t>
      </w:r>
      <w:r w:rsidRPr="00CD7FBE">
        <w:rPr>
          <w:rFonts w:ascii="Times New Roman" w:hAnsi="Times New Roman" w:cs="Times New Roman"/>
          <w:sz w:val="20"/>
          <w:szCs w:val="20"/>
        </w:rPr>
        <w:t xml:space="preserve"> 2 al P.N.A.). </w:t>
      </w:r>
      <w:r w:rsidRPr="00BE69D2">
        <w:rPr>
          <w:rFonts w:ascii="Times New Roman" w:hAnsi="Times New Roman" w:cs="Times New Roman"/>
          <w:sz w:val="20"/>
          <w:szCs w:val="20"/>
        </w:rPr>
        <w:t>Per maggiori dettagli si rinvia al Regolamento.</w:t>
      </w:r>
    </w:p>
    <w:p w14:paraId="13AB2237" w14:textId="77777777" w:rsidR="00603F3F" w:rsidRPr="00CD7FBE" w:rsidRDefault="00603F3F" w:rsidP="00603F3F">
      <w:pPr>
        <w:widowControl w:val="0"/>
        <w:autoSpaceDE w:val="0"/>
        <w:autoSpaceDN w:val="0"/>
        <w:adjustRightInd w:val="0"/>
        <w:spacing w:after="0"/>
        <w:jc w:val="both"/>
        <w:rPr>
          <w:rFonts w:ascii="Times New Roman" w:hAnsi="Times New Roman"/>
          <w:b/>
          <w:sz w:val="20"/>
          <w:szCs w:val="20"/>
          <w:lang w:eastAsia="it-IT"/>
        </w:rPr>
      </w:pPr>
    </w:p>
    <w:p w14:paraId="274C48C3"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707" w:name="_Toc454796245"/>
      <w:bookmarkStart w:id="708" w:name="_Toc454796307"/>
      <w:bookmarkStart w:id="709" w:name="_Toc535854471"/>
      <w:r w:rsidRPr="00FB1545">
        <w:t>Il rispetto dei termini di conclusione dei procedimenti</w:t>
      </w:r>
      <w:bookmarkEnd w:id="706"/>
      <w:bookmarkEnd w:id="707"/>
      <w:bookmarkEnd w:id="708"/>
      <w:bookmarkEnd w:id="709"/>
      <w:r w:rsidRPr="00FB1545">
        <w:t xml:space="preserve"> </w:t>
      </w:r>
    </w:p>
    <w:p w14:paraId="6C51D595" w14:textId="59A966F0" w:rsidR="00603F3F" w:rsidRPr="00CD7FBE" w:rsidRDefault="00C702E6" w:rsidP="00603F3F">
      <w:pPr>
        <w:widowControl w:val="0"/>
        <w:autoSpaceDE w:val="0"/>
        <w:autoSpaceDN w:val="0"/>
        <w:adjustRightInd w:val="0"/>
        <w:spacing w:after="0"/>
        <w:jc w:val="both"/>
        <w:rPr>
          <w:rFonts w:ascii="Times New Roman" w:hAnsi="Times New Roman"/>
          <w:color w:val="000000"/>
          <w:sz w:val="20"/>
          <w:szCs w:val="20"/>
          <w:lang w:eastAsia="it-IT"/>
        </w:rPr>
      </w:pPr>
      <w:r>
        <w:rPr>
          <w:rFonts w:ascii="Times New Roman" w:hAnsi="Times New Roman"/>
          <w:color w:val="000000"/>
          <w:sz w:val="20"/>
          <w:szCs w:val="20"/>
          <w:lang w:eastAsia="it-IT"/>
        </w:rPr>
        <w:t xml:space="preserve">I </w:t>
      </w:r>
      <w:r w:rsidR="00603F3F">
        <w:rPr>
          <w:rFonts w:ascii="Times New Roman" w:hAnsi="Times New Roman"/>
          <w:color w:val="000000"/>
          <w:sz w:val="20"/>
          <w:szCs w:val="20"/>
          <w:lang w:eastAsia="it-IT"/>
        </w:rPr>
        <w:t>Responsabili</w:t>
      </w:r>
      <w:r w:rsidR="00603F3F" w:rsidRPr="00CD7FBE">
        <w:rPr>
          <w:rFonts w:ascii="Times New Roman" w:hAnsi="Times New Roman"/>
          <w:color w:val="000000"/>
          <w:sz w:val="20"/>
          <w:szCs w:val="20"/>
          <w:lang w:eastAsia="it-IT"/>
        </w:rPr>
        <w:t xml:space="preserve"> devono monitorare che venga rispettato il termine entro cui bisogna concludere il procedimento, così come previsto dalle rispettive norme di legge o di regolamento e ne devono dare comunicazione al </w:t>
      </w:r>
      <w:r w:rsidR="00603F3F">
        <w:rPr>
          <w:rFonts w:ascii="Times New Roman" w:hAnsi="Times New Roman"/>
          <w:color w:val="000000"/>
          <w:sz w:val="20"/>
          <w:szCs w:val="20"/>
          <w:lang w:eastAsia="it-IT"/>
        </w:rPr>
        <w:t>RPCT</w:t>
      </w:r>
      <w:r w:rsidR="00603F3F" w:rsidRPr="00CD7FBE">
        <w:rPr>
          <w:rFonts w:ascii="Times New Roman" w:hAnsi="Times New Roman"/>
          <w:color w:val="000000"/>
          <w:sz w:val="20"/>
          <w:szCs w:val="20"/>
          <w:lang w:eastAsia="it-IT"/>
        </w:rPr>
        <w:t>.</w:t>
      </w:r>
      <w:r w:rsidR="00603F3F">
        <w:rPr>
          <w:rFonts w:ascii="Times New Roman" w:hAnsi="Times New Roman"/>
          <w:color w:val="000000"/>
          <w:sz w:val="20"/>
          <w:szCs w:val="20"/>
          <w:lang w:eastAsia="it-IT"/>
        </w:rPr>
        <w:t xml:space="preserve"> </w:t>
      </w:r>
      <w:r w:rsidR="00603F3F" w:rsidRPr="00CD7FBE">
        <w:rPr>
          <w:rFonts w:ascii="Times New Roman" w:hAnsi="Times New Roman"/>
          <w:color w:val="000000"/>
          <w:sz w:val="20"/>
          <w:szCs w:val="20"/>
          <w:lang w:eastAsia="it-IT"/>
        </w:rPr>
        <w:t xml:space="preserve">Nell’arco del triennio di vigenza del presente Piano verranno implementate procedure finalizzate al monitoraggio del rispetto dei tempi procedimentali. </w:t>
      </w:r>
    </w:p>
    <w:p w14:paraId="1A7BB2F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168C53C4" w14:textId="77777777" w:rsidR="00603F3F" w:rsidRPr="00CD7FBE" w:rsidRDefault="00603F3F" w:rsidP="003E3269">
      <w:pPr>
        <w:pStyle w:val="Titolo3"/>
        <w:keepNext w:val="0"/>
        <w:widowControl w:val="0"/>
        <w:numPr>
          <w:ilvl w:val="1"/>
          <w:numId w:val="31"/>
        </w:numPr>
        <w:spacing w:line="276" w:lineRule="auto"/>
        <w:ind w:left="567" w:hanging="567"/>
        <w:contextualSpacing w:val="0"/>
      </w:pPr>
      <w:bookmarkStart w:id="710" w:name="_Toc499709257"/>
      <w:bookmarkStart w:id="711" w:name="_Toc499709440"/>
      <w:bookmarkStart w:id="712" w:name="_Toc499709625"/>
      <w:bookmarkStart w:id="713" w:name="_Toc499709809"/>
      <w:bookmarkStart w:id="714" w:name="_Toc499709993"/>
      <w:bookmarkStart w:id="715" w:name="_Toc499710179"/>
      <w:bookmarkStart w:id="716" w:name="_Toc499797237"/>
      <w:bookmarkStart w:id="717" w:name="_Toc499880450"/>
      <w:bookmarkStart w:id="718" w:name="_Toc499881319"/>
      <w:bookmarkStart w:id="719" w:name="_Toc499883515"/>
      <w:bookmarkStart w:id="720" w:name="_Toc499883731"/>
      <w:bookmarkStart w:id="721" w:name="_Toc499883947"/>
      <w:bookmarkStart w:id="722" w:name="_Toc499884137"/>
      <w:bookmarkStart w:id="723" w:name="_Toc500232384"/>
      <w:bookmarkStart w:id="724" w:name="_Toc499709258"/>
      <w:bookmarkStart w:id="725" w:name="_Toc499709441"/>
      <w:bookmarkStart w:id="726" w:name="_Toc499709626"/>
      <w:bookmarkStart w:id="727" w:name="_Toc499709810"/>
      <w:bookmarkStart w:id="728" w:name="_Toc499709994"/>
      <w:bookmarkStart w:id="729" w:name="_Toc499710180"/>
      <w:bookmarkStart w:id="730" w:name="_Toc499797238"/>
      <w:bookmarkStart w:id="731" w:name="_Toc499880451"/>
      <w:bookmarkStart w:id="732" w:name="_Toc499881320"/>
      <w:bookmarkStart w:id="733" w:name="_Toc499883516"/>
      <w:bookmarkStart w:id="734" w:name="_Toc499883732"/>
      <w:bookmarkStart w:id="735" w:name="_Toc499883948"/>
      <w:bookmarkStart w:id="736" w:name="_Toc499884138"/>
      <w:bookmarkStart w:id="737" w:name="_Toc500232385"/>
      <w:bookmarkStart w:id="738" w:name="_Toc499709259"/>
      <w:bookmarkStart w:id="739" w:name="_Toc499709442"/>
      <w:bookmarkStart w:id="740" w:name="_Toc499709627"/>
      <w:bookmarkStart w:id="741" w:name="_Toc499709811"/>
      <w:bookmarkStart w:id="742" w:name="_Toc499709995"/>
      <w:bookmarkStart w:id="743" w:name="_Toc499710181"/>
      <w:bookmarkStart w:id="744" w:name="_Toc499797239"/>
      <w:bookmarkStart w:id="745" w:name="_Toc499880452"/>
      <w:bookmarkStart w:id="746" w:name="_Toc499881321"/>
      <w:bookmarkStart w:id="747" w:name="_Toc499883517"/>
      <w:bookmarkStart w:id="748" w:name="_Toc499883733"/>
      <w:bookmarkStart w:id="749" w:name="_Toc499883949"/>
      <w:bookmarkStart w:id="750" w:name="_Toc499884139"/>
      <w:bookmarkStart w:id="751" w:name="_Toc500232386"/>
      <w:bookmarkStart w:id="752" w:name="_Toc499709260"/>
      <w:bookmarkStart w:id="753" w:name="_Toc499709443"/>
      <w:bookmarkStart w:id="754" w:name="_Toc499709628"/>
      <w:bookmarkStart w:id="755" w:name="_Toc499709812"/>
      <w:bookmarkStart w:id="756" w:name="_Toc499709996"/>
      <w:bookmarkStart w:id="757" w:name="_Toc499710182"/>
      <w:bookmarkStart w:id="758" w:name="_Toc499797240"/>
      <w:bookmarkStart w:id="759" w:name="_Toc499880453"/>
      <w:bookmarkStart w:id="760" w:name="_Toc499881322"/>
      <w:bookmarkStart w:id="761" w:name="_Toc499883518"/>
      <w:bookmarkStart w:id="762" w:name="_Toc499883734"/>
      <w:bookmarkStart w:id="763" w:name="_Toc499883950"/>
      <w:bookmarkStart w:id="764" w:name="_Toc499884140"/>
      <w:bookmarkStart w:id="765" w:name="_Toc500232387"/>
      <w:bookmarkStart w:id="766" w:name="_Toc471969793"/>
      <w:bookmarkStart w:id="767" w:name="_Toc535854472"/>
      <w:bookmarkStart w:id="768" w:name="_Toc473547427"/>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t>I p</w:t>
      </w:r>
      <w:r w:rsidRPr="00CD7FBE">
        <w:t>atti di integrità.</w:t>
      </w:r>
      <w:bookmarkEnd w:id="766"/>
      <w:bookmarkEnd w:id="767"/>
    </w:p>
    <w:p w14:paraId="207650FC" w14:textId="0482A472"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I patti di integrità e i protocolli di legalità si identificano in una serie di condizioni o appendici contrattuali, presupposto necessario e condizionante per la partecipazione a gare ed affidamenti, volte a valorizzare comportamenti eticamente adeguati per tutti i concorrenti. La mancata adesione a tali patti o protocollo dovrà dar luogo all’esclusione del concorrente</w:t>
      </w:r>
      <w:r w:rsidRPr="009720F3">
        <w:rPr>
          <w:rFonts w:ascii="Times New Roman" w:hAnsi="Times New Roman"/>
          <w:sz w:val="20"/>
          <w:szCs w:val="20"/>
          <w:vertAlign w:val="superscript"/>
          <w:lang w:eastAsia="it-IT"/>
        </w:rPr>
        <w:endnoteReference w:id="74"/>
      </w:r>
      <w:r w:rsidRPr="00CD7FBE">
        <w:rPr>
          <w:rFonts w:ascii="Times New Roman" w:hAnsi="Times New Roman"/>
          <w:color w:val="000000"/>
          <w:sz w:val="20"/>
          <w:szCs w:val="20"/>
          <w:lang w:eastAsia="it-IT"/>
        </w:rPr>
        <w:t>.</w:t>
      </w:r>
    </w:p>
    <w:p w14:paraId="760D91A9" w14:textId="1D8AD2D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BE69D2">
        <w:rPr>
          <w:rFonts w:ascii="Times New Roman" w:hAnsi="Times New Roman"/>
          <w:color w:val="000000"/>
          <w:sz w:val="20"/>
          <w:szCs w:val="20"/>
          <w:lang w:eastAsia="it-IT"/>
        </w:rPr>
        <w:t>Entro il mese di giugno 2019, l’</w:t>
      </w:r>
      <w:r w:rsidR="002A7570" w:rsidRPr="00BE69D2">
        <w:rPr>
          <w:rFonts w:ascii="Times New Roman" w:hAnsi="Times New Roman"/>
          <w:color w:val="000000"/>
          <w:sz w:val="20"/>
          <w:szCs w:val="20"/>
          <w:lang w:eastAsia="it-IT"/>
        </w:rPr>
        <w:t>Amministratore Unico</w:t>
      </w:r>
      <w:r w:rsidR="00BE69D2" w:rsidRPr="00BE69D2">
        <w:rPr>
          <w:rFonts w:ascii="Times New Roman" w:hAnsi="Times New Roman"/>
          <w:color w:val="000000"/>
          <w:sz w:val="20"/>
          <w:szCs w:val="20"/>
          <w:lang w:eastAsia="it-IT"/>
        </w:rPr>
        <w:t xml:space="preserve"> </w:t>
      </w:r>
      <w:r w:rsidRPr="00BE69D2">
        <w:rPr>
          <w:rFonts w:ascii="Times New Roman" w:hAnsi="Times New Roman"/>
          <w:color w:val="000000"/>
          <w:sz w:val="20"/>
          <w:szCs w:val="20"/>
          <w:lang w:eastAsia="it-IT"/>
        </w:rPr>
        <w:t>provvederà ad adottare uno schema di disciplina dei Patti d’integrità; tale schema sarà sottoposto a consultazione pubblica, tramite pubblicazione dello stesso testo sul sito aziendale, prima dell’approvazione definitiva da parte dello stesso Organo Amministrativo.</w:t>
      </w:r>
    </w:p>
    <w:p w14:paraId="0199F07E"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9ABBB10" w14:textId="5BFBF0FE" w:rsidR="00603F3F" w:rsidRPr="00FB1545" w:rsidRDefault="00603F3F" w:rsidP="003E3269">
      <w:pPr>
        <w:pStyle w:val="Titolo3"/>
        <w:keepNext w:val="0"/>
        <w:widowControl w:val="0"/>
        <w:numPr>
          <w:ilvl w:val="1"/>
          <w:numId w:val="31"/>
        </w:numPr>
        <w:spacing w:line="276" w:lineRule="auto"/>
        <w:ind w:left="567" w:hanging="567"/>
        <w:contextualSpacing w:val="0"/>
        <w:jc w:val="both"/>
      </w:pPr>
      <w:bookmarkStart w:id="769" w:name="_Toc471969791"/>
      <w:bookmarkStart w:id="770" w:name="_Toc535854473"/>
      <w:r w:rsidRPr="00FB1545">
        <w:t xml:space="preserve">Il monitoraggio dei rapporti tra la </w:t>
      </w:r>
      <w:r>
        <w:t>società</w:t>
      </w:r>
      <w:r w:rsidRPr="00FB1545">
        <w:t xml:space="preserve"> e i soggetti che con essa stipulano contratti o siano destinatari di autorizzazioni o concessioni di vantaggi economici comunque denominati.</w:t>
      </w:r>
      <w:bookmarkEnd w:id="768"/>
      <w:bookmarkEnd w:id="769"/>
      <w:bookmarkEnd w:id="770"/>
    </w:p>
    <w:p w14:paraId="1C340B84" w14:textId="2F3659D6"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Fermi restando gli obblighi di astensione nei casi di conflitto di interessi, il responsabile del procedimento è tenuto, prima che sia sottoscritto il contratto o adottato il provvedimento di concessione di vantaggi economici comunque denominati, ad acquisire apposita dichiarazione, resa ai sensi del </w:t>
      </w:r>
      <w:r>
        <w:rPr>
          <w:rFonts w:ascii="Times New Roman" w:hAnsi="Times New Roman"/>
          <w:color w:val="000000"/>
          <w:sz w:val="20"/>
          <w:szCs w:val="20"/>
          <w:lang w:eastAsia="it-IT"/>
        </w:rPr>
        <w:t>D</w:t>
      </w:r>
      <w:r w:rsidRPr="00CD7FBE">
        <w:rPr>
          <w:rFonts w:ascii="Times New Roman" w:hAnsi="Times New Roman"/>
          <w:color w:val="000000"/>
          <w:sz w:val="20"/>
          <w:szCs w:val="20"/>
          <w:lang w:eastAsia="it-IT"/>
        </w:rPr>
        <w:t xml:space="preserve">.P.R. n. 445 del 2000 da parte del soggetto contraente o beneficiario circa l’eventuale esistenza di relazioni di coniugio, parentali fino al secondo grado o di affinità fino al secondo grado con  e dipendenti della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w:t>
      </w:r>
    </w:p>
    <w:p w14:paraId="13AA7680"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D90B66D"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771" w:name="_Toc454796246"/>
      <w:bookmarkStart w:id="772" w:name="_Toc454796308"/>
      <w:bookmarkStart w:id="773" w:name="_Toc473547428"/>
      <w:bookmarkStart w:id="774" w:name="_Toc535854474"/>
      <w:r w:rsidRPr="00FB1545">
        <w:t>Le misure ulteriori</w:t>
      </w:r>
      <w:bookmarkEnd w:id="771"/>
      <w:bookmarkEnd w:id="772"/>
      <w:bookmarkEnd w:id="773"/>
      <w:bookmarkEnd w:id="774"/>
      <w:r w:rsidRPr="00FB1545">
        <w:t xml:space="preserve"> </w:t>
      </w:r>
    </w:p>
    <w:p w14:paraId="03B32BFC" w14:textId="77777777" w:rsidR="00603F3F" w:rsidRPr="0098717B" w:rsidRDefault="00603F3F" w:rsidP="003E3269">
      <w:pPr>
        <w:pStyle w:val="Paragrafoelenco"/>
        <w:widowControl w:val="0"/>
        <w:numPr>
          <w:ilvl w:val="0"/>
          <w:numId w:val="11"/>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98717B">
        <w:rPr>
          <w:rFonts w:ascii="Times New Roman" w:hAnsi="Times New Roman"/>
          <w:color w:val="000000"/>
          <w:sz w:val="20"/>
          <w:szCs w:val="20"/>
        </w:rPr>
        <w:t>L’individuazione dei componenti le commissioni di concorso per l’assunzione o per la progressione verticale di personale nonché quella dei collaudatori dovrà sempre avvenire mediante sorteggio pubblico tra gli iscritti alle rispettive sezioni dell’</w:t>
      </w:r>
      <w:r>
        <w:rPr>
          <w:rFonts w:ascii="Times New Roman" w:hAnsi="Times New Roman"/>
          <w:color w:val="000000"/>
          <w:sz w:val="20"/>
          <w:szCs w:val="20"/>
        </w:rPr>
        <w:t xml:space="preserve">apposito </w:t>
      </w:r>
      <w:r w:rsidRPr="0098717B">
        <w:rPr>
          <w:rFonts w:ascii="Times New Roman" w:hAnsi="Times New Roman"/>
          <w:color w:val="000000"/>
          <w:sz w:val="20"/>
          <w:szCs w:val="20"/>
        </w:rPr>
        <w:t>albo.</w:t>
      </w:r>
      <w:r>
        <w:rPr>
          <w:rFonts w:ascii="Times New Roman" w:hAnsi="Times New Roman"/>
          <w:sz w:val="24"/>
          <w:szCs w:val="24"/>
          <w:lang w:eastAsia="it-IT"/>
        </w:rPr>
        <w:t xml:space="preserve"> </w:t>
      </w:r>
    </w:p>
    <w:p w14:paraId="0BAB1D1B" w14:textId="77777777" w:rsidR="00603F3F" w:rsidRPr="00CD7FBE" w:rsidRDefault="00603F3F" w:rsidP="00603F3F">
      <w:pPr>
        <w:pStyle w:val="Paragrafoelenco"/>
        <w:widowControl w:val="0"/>
        <w:autoSpaceDE w:val="0"/>
        <w:autoSpaceDN w:val="0"/>
        <w:adjustRightInd w:val="0"/>
        <w:spacing w:after="0" w:line="276" w:lineRule="auto"/>
        <w:ind w:left="284"/>
        <w:contextualSpacing w:val="0"/>
        <w:jc w:val="both"/>
        <w:rPr>
          <w:rFonts w:ascii="Times New Roman" w:hAnsi="Times New Roman"/>
          <w:color w:val="000000"/>
          <w:sz w:val="20"/>
          <w:szCs w:val="20"/>
        </w:rPr>
      </w:pPr>
      <w:r w:rsidRPr="0098717B">
        <w:rPr>
          <w:rFonts w:ascii="Times New Roman" w:hAnsi="Times New Roman"/>
          <w:color w:val="000000"/>
          <w:sz w:val="20"/>
          <w:szCs w:val="20"/>
        </w:rPr>
        <w:t xml:space="preserve">L’inserimento nell’albo </w:t>
      </w:r>
      <w:r w:rsidRPr="00493AEC">
        <w:rPr>
          <w:rFonts w:ascii="Times New Roman" w:hAnsi="Times New Roman"/>
          <w:color w:val="000000"/>
          <w:sz w:val="20"/>
          <w:szCs w:val="20"/>
        </w:rPr>
        <w:t>dei candidati che aspirano ad esser</w:t>
      </w:r>
      <w:r>
        <w:rPr>
          <w:rFonts w:ascii="Times New Roman" w:hAnsi="Times New Roman"/>
          <w:color w:val="000000"/>
          <w:sz w:val="20"/>
          <w:szCs w:val="20"/>
        </w:rPr>
        <w:t>vi</w:t>
      </w:r>
      <w:r w:rsidRPr="00493AEC">
        <w:rPr>
          <w:rFonts w:ascii="Times New Roman" w:hAnsi="Times New Roman"/>
          <w:color w:val="000000"/>
          <w:sz w:val="20"/>
          <w:szCs w:val="20"/>
        </w:rPr>
        <w:t xml:space="preserve"> inseriti </w:t>
      </w:r>
      <w:r w:rsidRPr="0098717B">
        <w:rPr>
          <w:rFonts w:ascii="Times New Roman" w:hAnsi="Times New Roman"/>
          <w:color w:val="000000"/>
          <w:sz w:val="20"/>
          <w:szCs w:val="20"/>
        </w:rPr>
        <w:t xml:space="preserve">e sezioni </w:t>
      </w:r>
      <w:r>
        <w:rPr>
          <w:rFonts w:ascii="Times New Roman" w:hAnsi="Times New Roman"/>
          <w:color w:val="000000"/>
          <w:sz w:val="20"/>
          <w:szCs w:val="20"/>
        </w:rPr>
        <w:t xml:space="preserve">è effettuato </w:t>
      </w:r>
      <w:r w:rsidRPr="00472177">
        <w:rPr>
          <w:rFonts w:ascii="Times New Roman" w:hAnsi="Times New Roman"/>
          <w:color w:val="000000"/>
          <w:sz w:val="20"/>
          <w:szCs w:val="20"/>
        </w:rPr>
        <w:t>all’esito di una</w:t>
      </w:r>
      <w:r>
        <w:rPr>
          <w:rFonts w:ascii="Times New Roman" w:hAnsi="Times New Roman"/>
          <w:color w:val="000000"/>
          <w:sz w:val="20"/>
          <w:szCs w:val="20"/>
        </w:rPr>
        <w:t xml:space="preserve"> scrupolosa verifica dei titoli</w:t>
      </w:r>
      <w:r w:rsidRPr="00472177">
        <w:rPr>
          <w:rFonts w:ascii="Times New Roman" w:hAnsi="Times New Roman"/>
          <w:color w:val="000000"/>
          <w:sz w:val="20"/>
          <w:szCs w:val="20"/>
        </w:rPr>
        <w:t xml:space="preserve"> attraverso una certificazione della professionalità specifica per ogni settore; tale prescrizione sarà inserita nel testo del Regolamento di istituzione e gestione dell’Albo</w:t>
      </w:r>
      <w:r>
        <w:rPr>
          <w:rFonts w:ascii="Times New Roman" w:hAnsi="Times New Roman"/>
          <w:color w:val="000000"/>
          <w:sz w:val="20"/>
          <w:szCs w:val="20"/>
        </w:rPr>
        <w:t xml:space="preserve">. </w:t>
      </w:r>
      <w:r w:rsidRPr="00CD7FBE">
        <w:rPr>
          <w:rFonts w:ascii="Times New Roman" w:hAnsi="Times New Roman"/>
          <w:color w:val="000000"/>
          <w:sz w:val="20"/>
          <w:szCs w:val="20"/>
        </w:rPr>
        <w:t xml:space="preserve">La data, l’ora ed il luogo prescelti per l’operazione del sorteggio dovranno essere comunicati dalla struttura competente per il procedimento al </w:t>
      </w:r>
      <w:r>
        <w:rPr>
          <w:rFonts w:ascii="Times New Roman" w:hAnsi="Times New Roman"/>
          <w:color w:val="000000"/>
          <w:sz w:val="20"/>
          <w:szCs w:val="20"/>
        </w:rPr>
        <w:t>RPCT</w:t>
      </w:r>
      <w:r w:rsidRPr="00CD7FBE">
        <w:rPr>
          <w:rFonts w:ascii="Times New Roman" w:hAnsi="Times New Roman"/>
          <w:color w:val="000000"/>
          <w:sz w:val="20"/>
          <w:szCs w:val="20"/>
        </w:rPr>
        <w:t xml:space="preserve"> </w:t>
      </w:r>
      <w:r>
        <w:rPr>
          <w:rFonts w:ascii="Times New Roman" w:hAnsi="Times New Roman"/>
          <w:color w:val="000000"/>
          <w:sz w:val="20"/>
          <w:szCs w:val="20"/>
        </w:rPr>
        <w:t xml:space="preserve">con </w:t>
      </w:r>
      <w:r w:rsidRPr="00CD7FBE">
        <w:rPr>
          <w:rFonts w:ascii="Times New Roman" w:hAnsi="Times New Roman"/>
          <w:color w:val="000000"/>
          <w:sz w:val="20"/>
          <w:szCs w:val="20"/>
        </w:rPr>
        <w:t>preavviso di almeno cinque giorni nonché pubblicizzati mediante avviso sul sito istituzionale sempre nel rispetto di tale termine.</w:t>
      </w:r>
    </w:p>
    <w:p w14:paraId="3E8859A1" w14:textId="77777777" w:rsidR="00603F3F" w:rsidRPr="00CD7FBE" w:rsidRDefault="00603F3F" w:rsidP="003E3269">
      <w:pPr>
        <w:pStyle w:val="Paragrafoelenco"/>
        <w:widowControl w:val="0"/>
        <w:numPr>
          <w:ilvl w:val="0"/>
          <w:numId w:val="10"/>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CD7FBE">
        <w:rPr>
          <w:rFonts w:ascii="Times New Roman" w:hAnsi="Times New Roman"/>
          <w:color w:val="000000"/>
          <w:sz w:val="20"/>
          <w:szCs w:val="20"/>
        </w:rPr>
        <w:t>Piena attuazione del principio di rotazione dei componenti le commissioni di gara per gli affidamenti di lavori, servizi e forniture. La responsabilità dell’attuazione della misura è in capo alla struttura di volta in volta competente alla nomina di commissioni.</w:t>
      </w:r>
    </w:p>
    <w:p w14:paraId="0FE35C41" w14:textId="77777777" w:rsidR="00603F3F" w:rsidRPr="00CD7FBE" w:rsidRDefault="00603F3F" w:rsidP="003E3269">
      <w:pPr>
        <w:pStyle w:val="Paragrafoelenco"/>
        <w:widowControl w:val="0"/>
        <w:numPr>
          <w:ilvl w:val="0"/>
          <w:numId w:val="10"/>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CD7FBE">
        <w:rPr>
          <w:rFonts w:ascii="Times New Roman" w:hAnsi="Times New Roman"/>
          <w:color w:val="000000"/>
          <w:sz w:val="20"/>
          <w:szCs w:val="20"/>
        </w:rPr>
        <w:t xml:space="preserve">I nominativi dei soggetti relativi al campione sul quale devono essere effettuate le verifiche di cui all’art. 71 del </w:t>
      </w:r>
      <w:r>
        <w:rPr>
          <w:rFonts w:ascii="Times New Roman" w:hAnsi="Times New Roman"/>
          <w:color w:val="000000"/>
          <w:sz w:val="20"/>
          <w:szCs w:val="20"/>
        </w:rPr>
        <w:t>D</w:t>
      </w:r>
      <w:r w:rsidRPr="00CD7FBE">
        <w:rPr>
          <w:rFonts w:ascii="Times New Roman" w:hAnsi="Times New Roman"/>
          <w:color w:val="000000"/>
          <w:sz w:val="20"/>
          <w:szCs w:val="20"/>
        </w:rPr>
        <w:t xml:space="preserve">.P.R. n. 445/2000 circa la veridicità delle dichiarazioni rese ai sensi dello stesso decreto devono sempre essere individuati a seguito di sorteggio effettuato dalla struttura competente per lo specifico procedimento. La data, l’ora ed il luogo prescelti per l’operazione del sorteggio dovranno essere comunicati da tale struttura al </w:t>
      </w:r>
      <w:r>
        <w:rPr>
          <w:rFonts w:ascii="Times New Roman" w:hAnsi="Times New Roman"/>
          <w:color w:val="000000"/>
          <w:sz w:val="20"/>
          <w:szCs w:val="20"/>
        </w:rPr>
        <w:t>RPCT</w:t>
      </w:r>
      <w:r w:rsidRPr="00CD7FBE">
        <w:rPr>
          <w:rFonts w:ascii="Times New Roman" w:hAnsi="Times New Roman"/>
          <w:color w:val="000000"/>
          <w:sz w:val="20"/>
          <w:szCs w:val="20"/>
        </w:rPr>
        <w:t xml:space="preserve"> con un preavviso di almeno tre giorni.</w:t>
      </w:r>
    </w:p>
    <w:p w14:paraId="2056F4D8" w14:textId="3FC2387D" w:rsidR="00603F3F" w:rsidRPr="0079737A" w:rsidRDefault="00603F3F" w:rsidP="003E3269">
      <w:pPr>
        <w:pStyle w:val="Paragrafoelenco"/>
        <w:widowControl w:val="0"/>
        <w:numPr>
          <w:ilvl w:val="0"/>
          <w:numId w:val="10"/>
        </w:numPr>
        <w:autoSpaceDE w:val="0"/>
        <w:autoSpaceDN w:val="0"/>
        <w:adjustRightInd w:val="0"/>
        <w:spacing w:after="0" w:line="276" w:lineRule="auto"/>
        <w:ind w:left="284" w:hanging="284"/>
        <w:contextualSpacing w:val="0"/>
        <w:jc w:val="both"/>
        <w:rPr>
          <w:rFonts w:ascii="Times New Roman" w:hAnsi="Times New Roman"/>
          <w:color w:val="000000"/>
          <w:sz w:val="20"/>
          <w:szCs w:val="20"/>
        </w:rPr>
      </w:pPr>
      <w:r w:rsidRPr="0079737A">
        <w:rPr>
          <w:rFonts w:ascii="Times New Roman" w:hAnsi="Times New Roman"/>
          <w:color w:val="000000"/>
          <w:sz w:val="20"/>
          <w:szCs w:val="20"/>
        </w:rPr>
        <w:t xml:space="preserve">Tutti i dipendenti sono tenuti a prestare particolare attenzione e cura alla gestione del contenzioso, correlato ad attività riferibili a competenze loro attribuite o delegate, che dovesse coinvolgere, a qualsiasi titolo, la </w:t>
      </w:r>
      <w:r>
        <w:rPr>
          <w:rFonts w:ascii="Times New Roman" w:hAnsi="Times New Roman"/>
          <w:color w:val="000000"/>
          <w:sz w:val="20"/>
          <w:szCs w:val="20"/>
        </w:rPr>
        <w:t>società</w:t>
      </w:r>
      <w:r w:rsidRPr="0079737A">
        <w:rPr>
          <w:rFonts w:ascii="Times New Roman" w:hAnsi="Times New Roman"/>
          <w:color w:val="000000"/>
          <w:sz w:val="20"/>
          <w:szCs w:val="20"/>
        </w:rPr>
        <w:t xml:space="preserve">. In tali casi e laddove richiesto, vi è obbligo di trasmettere tempestivamente e compiutamente all'Ufficio Legale ogni documento utile, unitamente ad una puntuale relazione di accompagnamento, allo scopo di rendere efficace la difesa della </w:t>
      </w:r>
      <w:r>
        <w:rPr>
          <w:rFonts w:ascii="Times New Roman" w:hAnsi="Times New Roman"/>
          <w:color w:val="000000"/>
          <w:sz w:val="20"/>
          <w:szCs w:val="20"/>
        </w:rPr>
        <w:t>società</w:t>
      </w:r>
      <w:r w:rsidRPr="0079737A">
        <w:rPr>
          <w:rFonts w:ascii="Times New Roman" w:hAnsi="Times New Roman"/>
          <w:color w:val="000000"/>
          <w:sz w:val="20"/>
          <w:szCs w:val="20"/>
        </w:rPr>
        <w:t>.</w:t>
      </w:r>
    </w:p>
    <w:p w14:paraId="4F9C3E46" w14:textId="6EBFE63B" w:rsidR="00603F3F" w:rsidRPr="001F4D54" w:rsidRDefault="00603F3F" w:rsidP="00603F3F">
      <w:pPr>
        <w:widowControl w:val="0"/>
        <w:autoSpaceDE w:val="0"/>
        <w:autoSpaceDN w:val="0"/>
        <w:adjustRightInd w:val="0"/>
        <w:spacing w:after="0"/>
        <w:jc w:val="both"/>
        <w:rPr>
          <w:rFonts w:ascii="Times New Roman" w:hAnsi="Times New Roman"/>
          <w:sz w:val="20"/>
          <w:szCs w:val="20"/>
          <w:lang w:eastAsia="it-IT"/>
        </w:rPr>
      </w:pPr>
      <w:r w:rsidRPr="00BE69D2">
        <w:rPr>
          <w:rFonts w:ascii="Times New Roman" w:hAnsi="Times New Roman"/>
          <w:sz w:val="20"/>
          <w:szCs w:val="20"/>
          <w:lang w:eastAsia="it-IT"/>
        </w:rPr>
        <w:t xml:space="preserve">Ad integrazione delle misure obbligatorie e di quelle ulteriori sopra descritte, </w:t>
      </w:r>
      <w:r w:rsidR="001F4D54" w:rsidRPr="00BE69D2">
        <w:rPr>
          <w:rFonts w:ascii="Times New Roman" w:hAnsi="Times New Roman"/>
          <w:sz w:val="20"/>
          <w:szCs w:val="20"/>
          <w:lang w:eastAsia="it-IT"/>
        </w:rPr>
        <w:t xml:space="preserve">il Direttore ed ogni </w:t>
      </w:r>
      <w:r w:rsidRPr="00BE69D2">
        <w:rPr>
          <w:rFonts w:ascii="Times New Roman" w:hAnsi="Times New Roman"/>
          <w:sz w:val="20"/>
          <w:szCs w:val="20"/>
          <w:lang w:eastAsia="it-IT"/>
        </w:rPr>
        <w:t>Responsabile dovrà individuare e programmare l’attuazione di misure ulteriori per prevenire gli specifici rischi individuati per ogni processo.</w:t>
      </w:r>
      <w:r w:rsidRPr="001F4D54">
        <w:rPr>
          <w:rFonts w:ascii="Times New Roman" w:hAnsi="Times New Roman"/>
          <w:sz w:val="20"/>
          <w:szCs w:val="20"/>
          <w:lang w:eastAsia="it-IT"/>
        </w:rPr>
        <w:t xml:space="preserve"> </w:t>
      </w:r>
    </w:p>
    <w:p w14:paraId="380DD554" w14:textId="5FED1A59" w:rsidR="00603F3F"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05BDBF73" w14:textId="77777777" w:rsidR="00603F3F" w:rsidRPr="00E84C3D" w:rsidRDefault="00603F3F" w:rsidP="00603F3F">
      <w:pPr>
        <w:pStyle w:val="Titolo2"/>
        <w:keepNext w:val="0"/>
        <w:spacing w:line="276" w:lineRule="auto"/>
        <w:ind w:left="426" w:hanging="426"/>
        <w:rPr>
          <w:color w:val="0070C0"/>
        </w:rPr>
      </w:pPr>
      <w:bookmarkStart w:id="775" w:name="_Toc473547429"/>
      <w:bookmarkStart w:id="776" w:name="_Toc535854475"/>
      <w:r w:rsidRPr="00E84C3D">
        <w:rPr>
          <w:color w:val="0070C0"/>
        </w:rPr>
        <w:t>Il monitoraggio</w:t>
      </w:r>
      <w:bookmarkEnd w:id="775"/>
      <w:bookmarkEnd w:id="776"/>
    </w:p>
    <w:p w14:paraId="603EC5CD" w14:textId="47E4B84C" w:rsidR="00603F3F" w:rsidRPr="00CD7FBE" w:rsidRDefault="00603F3F" w:rsidP="00603F3F">
      <w:pPr>
        <w:widowControl w:val="0"/>
        <w:spacing w:after="0"/>
        <w:jc w:val="both"/>
        <w:rPr>
          <w:rFonts w:ascii="Times New Roman" w:hAnsi="Times New Roman"/>
          <w:sz w:val="20"/>
          <w:szCs w:val="20"/>
          <w:lang w:eastAsia="it-IT"/>
        </w:rPr>
      </w:pPr>
      <w:r w:rsidRPr="00CD7FBE">
        <w:rPr>
          <w:rFonts w:ascii="Times New Roman" w:hAnsi="Times New Roman"/>
          <w:color w:val="000000"/>
          <w:sz w:val="20"/>
          <w:szCs w:val="20"/>
          <w:lang w:eastAsia="it-IT"/>
        </w:rPr>
        <w:t xml:space="preserve">L’attività di monitoraggio riguarda tutte le fasi di gestione del rischio </w:t>
      </w:r>
      <w:r>
        <w:rPr>
          <w:rFonts w:ascii="Times New Roman" w:hAnsi="Times New Roman"/>
          <w:color w:val="000000"/>
          <w:sz w:val="20"/>
          <w:szCs w:val="20"/>
          <w:lang w:eastAsia="it-IT"/>
        </w:rPr>
        <w:t>e le fattispecie individuate nell’</w:t>
      </w:r>
      <w:r w:rsidR="00F53FC8">
        <w:rPr>
          <w:rFonts w:ascii="Times New Roman" w:hAnsi="Times New Roman"/>
          <w:b/>
          <w:color w:val="000000"/>
          <w:sz w:val="20"/>
          <w:szCs w:val="20"/>
          <w:lang w:eastAsia="it-IT"/>
        </w:rPr>
        <w:t>A</w:t>
      </w:r>
      <w:r w:rsidRPr="00E84C3D">
        <w:rPr>
          <w:rFonts w:ascii="Times New Roman" w:hAnsi="Times New Roman"/>
          <w:b/>
          <w:color w:val="000000"/>
          <w:sz w:val="20"/>
          <w:szCs w:val="20"/>
          <w:lang w:eastAsia="it-IT"/>
        </w:rPr>
        <w:t>llegato 4b</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al fine di poter intercettare </w:t>
      </w:r>
      <w:r>
        <w:rPr>
          <w:rFonts w:ascii="Times New Roman" w:hAnsi="Times New Roman"/>
          <w:color w:val="000000"/>
          <w:sz w:val="20"/>
          <w:szCs w:val="20"/>
          <w:lang w:eastAsia="it-IT"/>
        </w:rPr>
        <w:t>quelli</w:t>
      </w:r>
      <w:r w:rsidRPr="00CD7FBE">
        <w:rPr>
          <w:rFonts w:ascii="Times New Roman" w:hAnsi="Times New Roman"/>
          <w:color w:val="000000"/>
          <w:sz w:val="20"/>
          <w:szCs w:val="20"/>
          <w:lang w:eastAsia="it-IT"/>
        </w:rPr>
        <w:t xml:space="preserve"> emergenti, identificare i processi organizzativi tralasciati nella fase di mappatura, prevedere nuovi e più efficaci criteri per l’analisi e la ponderazione.</w:t>
      </w:r>
      <w:r>
        <w:rPr>
          <w:rFonts w:ascii="Times New Roman" w:hAnsi="Times New Roman"/>
          <w:color w:val="000000"/>
          <w:sz w:val="20"/>
          <w:szCs w:val="20"/>
          <w:lang w:eastAsia="it-IT"/>
        </w:rPr>
        <w:t xml:space="preserve"> </w:t>
      </w:r>
      <w:r w:rsidRPr="00516766">
        <w:rPr>
          <w:rFonts w:ascii="Times New Roman" w:hAnsi="Times New Roman"/>
          <w:color w:val="000000"/>
          <w:sz w:val="20"/>
          <w:szCs w:val="20"/>
          <w:lang w:eastAsia="it-IT"/>
        </w:rPr>
        <w:t>In particolare l’attività di monitoraggio e controllo viene effettuata in modo congiunto con l’OdV attraverso l’ausilio dell’</w:t>
      </w:r>
      <w:r w:rsidRPr="00516766">
        <w:rPr>
          <w:rFonts w:ascii="Times New Roman" w:hAnsi="Times New Roman"/>
          <w:i/>
          <w:color w:val="000000"/>
          <w:sz w:val="20"/>
          <w:szCs w:val="20"/>
          <w:lang w:eastAsia="it-IT"/>
        </w:rPr>
        <w:t xml:space="preserve">Internal Audit </w:t>
      </w:r>
      <w:r w:rsidRPr="00516766">
        <w:rPr>
          <w:rFonts w:ascii="Times New Roman" w:hAnsi="Times New Roman"/>
          <w:color w:val="000000"/>
          <w:sz w:val="20"/>
          <w:szCs w:val="20"/>
          <w:lang w:eastAsia="it-IT"/>
        </w:rPr>
        <w:t xml:space="preserve">sia con cadenza periodica semestrale sia in relazione a specifiche fattispecie. Inoltre l’attività di monitoraggio viene svolta dal Gruppo di lavoro permanente </w:t>
      </w:r>
      <w:r w:rsidRPr="00516766">
        <w:rPr>
          <w:rFonts w:ascii="Times New Roman" w:hAnsi="Times New Roman"/>
          <w:sz w:val="20"/>
          <w:szCs w:val="20"/>
        </w:rPr>
        <w:t>per il PTPCT</w:t>
      </w:r>
      <w:r w:rsidRPr="00516766">
        <w:rPr>
          <w:rFonts w:ascii="Times New Roman" w:hAnsi="Times New Roman"/>
          <w:color w:val="000000"/>
          <w:sz w:val="20"/>
          <w:szCs w:val="20"/>
          <w:lang w:eastAsia="it-IT"/>
        </w:rPr>
        <w:t>, coordinato dal RPCT, che relazionerà semestralmente al RPCT e all’OdV.</w:t>
      </w:r>
      <w:r w:rsidRPr="00CD7FBE">
        <w:rPr>
          <w:rFonts w:ascii="Times New Roman" w:hAnsi="Times New Roman"/>
          <w:color w:val="000000"/>
          <w:sz w:val="20"/>
          <w:szCs w:val="20"/>
          <w:lang w:eastAsia="it-IT"/>
        </w:rPr>
        <w:t xml:space="preserve"> Tale attività di monitoraggio e controllo viene svolta avendo proceduto all’integrazione di tutte le componenti del modello di organizzazione e gestione vigente ex </w:t>
      </w:r>
      <w:r w:rsidR="006E3553">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xml:space="preserve">. n. 231/2001, ai sensi della legge n.190/2012 e dei collegati decreti legislativi, in occasione delle verifiche semestrali congiunte espletate dall’OdV e dal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w:t>
      </w:r>
      <w:r w:rsidRPr="00BE69D2">
        <w:rPr>
          <w:rFonts w:ascii="Times New Roman" w:hAnsi="Times New Roman"/>
          <w:sz w:val="20"/>
          <w:szCs w:val="20"/>
          <w:lang w:eastAsia="it-IT"/>
        </w:rPr>
        <w:t>(per le quali verrà predisposto specifico verbale trasmesso all’</w:t>
      </w:r>
      <w:r w:rsidR="009256EF" w:rsidRPr="00BE69D2">
        <w:rPr>
          <w:rFonts w:ascii="Times New Roman" w:hAnsi="Times New Roman"/>
          <w:sz w:val="20"/>
          <w:szCs w:val="20"/>
          <w:lang w:eastAsia="it-IT"/>
        </w:rPr>
        <w:t xml:space="preserve">Amministratore Unico </w:t>
      </w:r>
      <w:r w:rsidRPr="00BE69D2">
        <w:rPr>
          <w:rFonts w:ascii="Times New Roman" w:hAnsi="Times New Roman"/>
          <w:sz w:val="20"/>
          <w:szCs w:val="20"/>
          <w:lang w:eastAsia="it-IT"/>
        </w:rPr>
        <w:t xml:space="preserve">e all’Amministrazione Vigilante </w:t>
      </w:r>
      <w:r w:rsidR="0028205F" w:rsidRPr="00BE69D2">
        <w:rPr>
          <w:rFonts w:ascii="Times New Roman" w:hAnsi="Times New Roman"/>
          <w:sz w:val="20"/>
          <w:szCs w:val="20"/>
          <w:lang w:eastAsia="it-IT"/>
        </w:rPr>
        <w:t>del Comune di Marino</w:t>
      </w:r>
      <w:r w:rsidR="009256EF" w:rsidRPr="00BE69D2">
        <w:rPr>
          <w:rFonts w:ascii="Times New Roman" w:hAnsi="Times New Roman"/>
          <w:sz w:val="20"/>
          <w:szCs w:val="20"/>
          <w:lang w:eastAsia="it-IT"/>
        </w:rPr>
        <w:t xml:space="preserve"> anche in ottemperanza al citato Regolamento per il Controllo analogo della società partecipata del Comune di Marino</w:t>
      </w:r>
      <w:r w:rsidRPr="00BE69D2">
        <w:rPr>
          <w:rFonts w:ascii="Times New Roman" w:hAnsi="Times New Roman"/>
          <w:sz w:val="20"/>
          <w:szCs w:val="20"/>
          <w:lang w:eastAsia="it-IT"/>
        </w:rPr>
        <w:t>).</w:t>
      </w:r>
    </w:p>
    <w:p w14:paraId="63372F26" w14:textId="77777777"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p>
    <w:p w14:paraId="40220833" w14:textId="4E758726" w:rsidR="00603F3F" w:rsidRPr="00CD7FBE" w:rsidRDefault="00603F3F" w:rsidP="00603F3F">
      <w:pPr>
        <w:widowControl w:val="0"/>
        <w:autoSpaceDE w:val="0"/>
        <w:autoSpaceDN w:val="0"/>
        <w:adjustRightInd w:val="0"/>
        <w:spacing w:after="0"/>
        <w:jc w:val="both"/>
        <w:rPr>
          <w:rFonts w:ascii="Times New Roman" w:hAnsi="Times New Roman"/>
          <w:sz w:val="20"/>
          <w:szCs w:val="20"/>
          <w:lang w:eastAsia="it-IT"/>
        </w:rPr>
      </w:pPr>
      <w:r w:rsidRPr="00CD7FBE">
        <w:rPr>
          <w:rFonts w:ascii="Times New Roman" w:hAnsi="Times New Roman"/>
          <w:color w:val="000000"/>
          <w:sz w:val="20"/>
          <w:szCs w:val="20"/>
          <w:lang w:eastAsia="it-IT"/>
        </w:rPr>
        <w:t xml:space="preserve">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attua un sistema di </w:t>
      </w:r>
      <w:r w:rsidRPr="00CD7FBE">
        <w:rPr>
          <w:rFonts w:ascii="Times New Roman" w:hAnsi="Times New Roman"/>
          <w:i/>
          <w:color w:val="000000"/>
          <w:sz w:val="20"/>
          <w:szCs w:val="20"/>
          <w:lang w:eastAsia="it-IT"/>
        </w:rPr>
        <w:t>controllo interno integrato</w:t>
      </w:r>
      <w:r w:rsidRPr="00CD7FBE">
        <w:rPr>
          <w:rFonts w:ascii="Times New Roman" w:hAnsi="Times New Roman"/>
          <w:color w:val="000000"/>
          <w:sz w:val="20"/>
          <w:szCs w:val="20"/>
          <w:lang w:eastAsia="it-IT"/>
        </w:rPr>
        <w:t xml:space="preserve"> tra gli organi all’uopo preposti (</w:t>
      </w:r>
      <w:r w:rsidR="002A7570">
        <w:rPr>
          <w:rFonts w:ascii="Times New Roman" w:hAnsi="Times New Roman"/>
          <w:b/>
          <w:i/>
          <w:color w:val="000000"/>
          <w:sz w:val="20"/>
          <w:szCs w:val="20"/>
          <w:lang w:eastAsia="it-IT"/>
        </w:rPr>
        <w:t>Collegio Sindacale, Revisore dei Conti</w:t>
      </w:r>
      <w:r w:rsidRPr="00A00246">
        <w:rPr>
          <w:rFonts w:ascii="Times New Roman" w:hAnsi="Times New Roman"/>
          <w:b/>
          <w:i/>
          <w:color w:val="000000"/>
          <w:sz w:val="20"/>
          <w:szCs w:val="20"/>
          <w:lang w:eastAsia="it-IT"/>
        </w:rPr>
        <w:t>, Organismo di Vigilanza, RPCT, Internal Audit, Controllo di Gestione</w:t>
      </w:r>
      <w:r w:rsidRPr="00CD7FBE">
        <w:rPr>
          <w:rFonts w:ascii="Times New Roman" w:hAnsi="Times New Roman"/>
          <w:color w:val="000000"/>
          <w:sz w:val="20"/>
          <w:szCs w:val="20"/>
          <w:lang w:eastAsia="it-IT"/>
        </w:rPr>
        <w:t>), attraverso un ampio scambio di informazioni e dei rispettivi atti, specifici incontri e riunioni, consultazioni anche tramite utilizzo di strumenti telematici, posta elettronica e/o specifiche comunicazioni, etc.</w:t>
      </w:r>
      <w:r>
        <w:rPr>
          <w:rFonts w:ascii="Times New Roman" w:hAnsi="Times New Roman"/>
          <w:color w:val="000000"/>
          <w:sz w:val="20"/>
          <w:szCs w:val="20"/>
          <w:lang w:eastAsia="it-IT"/>
        </w:rPr>
        <w:t xml:space="preserve"> </w:t>
      </w:r>
      <w:r w:rsidRPr="00CD7FBE">
        <w:rPr>
          <w:rFonts w:ascii="Times New Roman" w:hAnsi="Times New Roman"/>
          <w:sz w:val="20"/>
          <w:szCs w:val="20"/>
          <w:lang w:eastAsia="it-IT"/>
        </w:rPr>
        <w:t>In occasione delle sopra citate verifiche semestrali co</w:t>
      </w:r>
      <w:r w:rsidR="00A00246">
        <w:rPr>
          <w:rFonts w:ascii="Times New Roman" w:hAnsi="Times New Roman"/>
          <w:sz w:val="20"/>
          <w:szCs w:val="20"/>
          <w:lang w:eastAsia="it-IT"/>
        </w:rPr>
        <w:t>ngiunte, l’Amministratore Unico</w:t>
      </w:r>
      <w:r w:rsidRPr="00CD7FBE">
        <w:rPr>
          <w:rFonts w:ascii="Times New Roman" w:hAnsi="Times New Roman"/>
          <w:sz w:val="20"/>
          <w:szCs w:val="20"/>
          <w:lang w:eastAsia="it-IT"/>
        </w:rPr>
        <w:t>, i</w:t>
      </w:r>
      <w:r w:rsidR="00A00246">
        <w:rPr>
          <w:rFonts w:ascii="Times New Roman" w:hAnsi="Times New Roman"/>
          <w:sz w:val="20"/>
          <w:szCs w:val="20"/>
          <w:lang w:eastAsia="it-IT"/>
        </w:rPr>
        <w:t>l Direttore</w:t>
      </w:r>
      <w:r w:rsidR="0088556B">
        <w:rPr>
          <w:rFonts w:ascii="Times New Roman" w:hAnsi="Times New Roman"/>
          <w:sz w:val="20"/>
          <w:szCs w:val="20"/>
          <w:lang w:eastAsia="it-IT"/>
        </w:rPr>
        <w:t>, i Responsabili di Settore</w:t>
      </w:r>
      <w:r w:rsidRPr="00CD7FBE">
        <w:rPr>
          <w:rFonts w:ascii="Times New Roman" w:hAnsi="Times New Roman"/>
          <w:sz w:val="20"/>
          <w:szCs w:val="20"/>
          <w:lang w:eastAsia="it-IT"/>
        </w:rPr>
        <w:t>/U</w:t>
      </w:r>
      <w:r>
        <w:rPr>
          <w:rFonts w:ascii="Times New Roman" w:hAnsi="Times New Roman"/>
          <w:sz w:val="20"/>
          <w:szCs w:val="20"/>
          <w:lang w:eastAsia="it-IT"/>
        </w:rPr>
        <w:t>fficio</w:t>
      </w:r>
      <w:r w:rsidRPr="00CD7FBE">
        <w:rPr>
          <w:rFonts w:ascii="Times New Roman" w:hAnsi="Times New Roman"/>
          <w:sz w:val="20"/>
          <w:szCs w:val="20"/>
          <w:lang w:eastAsia="it-IT"/>
        </w:rPr>
        <w:t xml:space="preserve"> trasmettono al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ed </w:t>
      </w:r>
      <w:r w:rsidRPr="00CD7FBE">
        <w:rPr>
          <w:rFonts w:ascii="Times New Roman" w:hAnsi="Times New Roman"/>
          <w:sz w:val="20"/>
          <w:szCs w:val="20"/>
          <w:lang w:eastAsia="it-IT"/>
        </w:rPr>
        <w:t xml:space="preserve">all’OdV, entro il 15 </w:t>
      </w:r>
      <w:r>
        <w:rPr>
          <w:rFonts w:ascii="Times New Roman" w:hAnsi="Times New Roman"/>
          <w:sz w:val="20"/>
          <w:szCs w:val="20"/>
          <w:lang w:eastAsia="it-IT"/>
        </w:rPr>
        <w:t>settembre</w:t>
      </w:r>
      <w:r w:rsidRPr="00CD7FBE">
        <w:rPr>
          <w:rFonts w:ascii="Times New Roman" w:hAnsi="Times New Roman"/>
          <w:sz w:val="20"/>
          <w:szCs w:val="20"/>
          <w:lang w:eastAsia="it-IT"/>
        </w:rPr>
        <w:t xml:space="preserve"> ed il 20 </w:t>
      </w:r>
      <w:r>
        <w:rPr>
          <w:rFonts w:ascii="Times New Roman" w:hAnsi="Times New Roman"/>
          <w:sz w:val="20"/>
          <w:szCs w:val="20"/>
          <w:lang w:eastAsia="it-IT"/>
        </w:rPr>
        <w:t>febbr</w:t>
      </w:r>
      <w:r w:rsidRPr="00CD7FBE">
        <w:rPr>
          <w:rFonts w:ascii="Times New Roman" w:hAnsi="Times New Roman"/>
          <w:sz w:val="20"/>
          <w:szCs w:val="20"/>
          <w:lang w:eastAsia="it-IT"/>
        </w:rPr>
        <w:t xml:space="preserve">aio di ogni anno, una relazione dettagliata relativa all’attività svolta nel semestre precedente, segnalando anche le eventuali criticità emerse. L’OdV e il </w:t>
      </w:r>
      <w:r>
        <w:rPr>
          <w:rFonts w:ascii="Times New Roman" w:hAnsi="Times New Roman"/>
          <w:sz w:val="20"/>
          <w:szCs w:val="20"/>
          <w:lang w:eastAsia="it-IT"/>
        </w:rPr>
        <w:t>RPCT</w:t>
      </w:r>
      <w:r w:rsidRPr="00CD7FBE">
        <w:rPr>
          <w:rFonts w:ascii="Times New Roman" w:hAnsi="Times New Roman"/>
          <w:sz w:val="20"/>
          <w:szCs w:val="20"/>
          <w:lang w:eastAsia="it-IT"/>
        </w:rPr>
        <w:t xml:space="preserve"> trasmettono tale documentazione all’</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per le opportune verifiche di competenza. Quest’ultimo dovrà effettuare ulteriori approfondimenti anche attraverso “</w:t>
      </w:r>
      <w:r w:rsidRPr="00CD7FBE">
        <w:rPr>
          <w:rFonts w:ascii="Times New Roman" w:hAnsi="Times New Roman"/>
          <w:i/>
          <w:sz w:val="20"/>
          <w:szCs w:val="20"/>
          <w:lang w:eastAsia="it-IT"/>
        </w:rPr>
        <w:t>accessi agli atti</w:t>
      </w:r>
      <w:r w:rsidRPr="00CD7FBE">
        <w:rPr>
          <w:rFonts w:ascii="Times New Roman" w:hAnsi="Times New Roman"/>
          <w:sz w:val="20"/>
          <w:szCs w:val="20"/>
          <w:lang w:eastAsia="it-IT"/>
        </w:rPr>
        <w:t xml:space="preserve">” a campione su attività ritenute “sensibili” (in via esemplificativa e non esaustiva: reclutamento, progressioni di carriera e/o economiche/procedure di mobilità, incarichi di collaborazione e di consulenza, acquisti beni e servizi, forniture e lavori, progetti, amministrazione e finanza, contenzioso e sicurezza). Per le suddette verifiche a campione, la </w:t>
      </w:r>
      <w:r>
        <w:rPr>
          <w:rFonts w:ascii="Times New Roman" w:hAnsi="Times New Roman"/>
          <w:sz w:val="20"/>
          <w:szCs w:val="20"/>
          <w:lang w:eastAsia="it-IT"/>
        </w:rPr>
        <w:t>società</w:t>
      </w:r>
      <w:r w:rsidRPr="00CD7FBE">
        <w:rPr>
          <w:rFonts w:ascii="Times New Roman" w:hAnsi="Times New Roman"/>
          <w:sz w:val="20"/>
          <w:szCs w:val="20"/>
          <w:lang w:eastAsia="it-IT"/>
        </w:rPr>
        <w:t xml:space="preserve"> si è dotata di un </w:t>
      </w:r>
      <w:r w:rsidRPr="00FB1545">
        <w:rPr>
          <w:rFonts w:ascii="Times New Roman" w:hAnsi="Times New Roman"/>
          <w:sz w:val="20"/>
        </w:rPr>
        <w:t>software</w:t>
      </w:r>
      <w:r w:rsidRPr="00CD7FBE">
        <w:rPr>
          <w:rFonts w:ascii="Times New Roman" w:hAnsi="Times New Roman"/>
          <w:sz w:val="20"/>
          <w:szCs w:val="20"/>
          <w:lang w:eastAsia="it-IT"/>
        </w:rPr>
        <w:t xml:space="preserve"> per eseguire estrazioni a sorte che saranno effettuate in seduta pubblica in presenza del Responsabile dell’</w:t>
      </w:r>
      <w:r w:rsidRPr="00CD7FBE">
        <w:rPr>
          <w:rFonts w:ascii="Times New Roman" w:hAnsi="Times New Roman"/>
          <w:i/>
          <w:sz w:val="20"/>
          <w:szCs w:val="20"/>
          <w:lang w:eastAsia="it-IT"/>
        </w:rPr>
        <w:t>Inter</w:t>
      </w:r>
      <w:r>
        <w:rPr>
          <w:rFonts w:ascii="Times New Roman" w:hAnsi="Times New Roman"/>
          <w:i/>
          <w:sz w:val="20"/>
          <w:szCs w:val="20"/>
          <w:lang w:eastAsia="it-IT"/>
        </w:rPr>
        <w:t>n</w:t>
      </w:r>
      <w:r w:rsidRPr="00CD7FBE">
        <w:rPr>
          <w:rFonts w:ascii="Times New Roman" w:hAnsi="Times New Roman"/>
          <w:i/>
          <w:sz w:val="20"/>
          <w:szCs w:val="20"/>
          <w:lang w:eastAsia="it-IT"/>
        </w:rPr>
        <w:t>al Audit</w:t>
      </w:r>
      <w:r w:rsidR="00271047">
        <w:rPr>
          <w:rFonts w:ascii="Times New Roman" w:hAnsi="Times New Roman"/>
          <w:sz w:val="20"/>
          <w:szCs w:val="20"/>
          <w:lang w:eastAsia="it-IT"/>
        </w:rPr>
        <w:t xml:space="preserve"> e del Direttore</w:t>
      </w:r>
      <w:r w:rsidR="0088556B">
        <w:rPr>
          <w:rFonts w:ascii="Times New Roman" w:hAnsi="Times New Roman"/>
          <w:sz w:val="20"/>
          <w:szCs w:val="20"/>
          <w:lang w:eastAsia="it-IT"/>
        </w:rPr>
        <w:t xml:space="preserve"> e dei Responsabili di Settore</w:t>
      </w:r>
      <w:r w:rsidRPr="00CD7FBE">
        <w:rPr>
          <w:rFonts w:ascii="Times New Roman" w:hAnsi="Times New Roman"/>
          <w:sz w:val="20"/>
          <w:szCs w:val="20"/>
          <w:lang w:eastAsia="it-IT"/>
        </w:rPr>
        <w:t>/U</w:t>
      </w:r>
      <w:r>
        <w:rPr>
          <w:rFonts w:ascii="Times New Roman" w:hAnsi="Times New Roman"/>
          <w:sz w:val="20"/>
          <w:szCs w:val="20"/>
          <w:lang w:eastAsia="it-IT"/>
        </w:rPr>
        <w:t>fficio</w:t>
      </w:r>
      <w:r w:rsidRPr="00CD7FBE" w:rsidDel="009014F3">
        <w:rPr>
          <w:rFonts w:ascii="Times New Roman" w:hAnsi="Times New Roman"/>
          <w:sz w:val="20"/>
          <w:szCs w:val="20"/>
        </w:rPr>
        <w:t xml:space="preserve"> </w:t>
      </w:r>
      <w:r w:rsidRPr="00CD7FBE">
        <w:rPr>
          <w:rFonts w:ascii="Times New Roman" w:hAnsi="Times New Roman"/>
          <w:sz w:val="20"/>
          <w:szCs w:val="20"/>
          <w:lang w:eastAsia="it-IT"/>
        </w:rPr>
        <w:t>al fine di selezionare quali procedure/atti debbano essere accertati. L’</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procederà ad effettuare tali verifiche a campione su un minimo del 10% fino a </w:t>
      </w:r>
      <w:r>
        <w:rPr>
          <w:rFonts w:ascii="Times New Roman" w:hAnsi="Times New Roman"/>
          <w:sz w:val="20"/>
          <w:szCs w:val="20"/>
          <w:lang w:eastAsia="it-IT"/>
        </w:rPr>
        <w:t>2</w:t>
      </w:r>
      <w:r w:rsidRPr="00CD7FBE">
        <w:rPr>
          <w:rFonts w:ascii="Times New Roman" w:hAnsi="Times New Roman"/>
          <w:sz w:val="20"/>
          <w:szCs w:val="20"/>
          <w:lang w:eastAsia="it-IT"/>
        </w:rPr>
        <w:t xml:space="preserve">0 procedure ed atti, del </w:t>
      </w:r>
      <w:r>
        <w:rPr>
          <w:rFonts w:ascii="Times New Roman" w:hAnsi="Times New Roman"/>
          <w:sz w:val="20"/>
          <w:szCs w:val="20"/>
          <w:lang w:eastAsia="it-IT"/>
        </w:rPr>
        <w:t>2</w:t>
      </w:r>
      <w:r w:rsidRPr="00CD7FBE">
        <w:rPr>
          <w:rFonts w:ascii="Times New Roman" w:hAnsi="Times New Roman"/>
          <w:sz w:val="20"/>
          <w:szCs w:val="20"/>
          <w:lang w:eastAsia="it-IT"/>
        </w:rPr>
        <w:t xml:space="preserve">% per le successive </w:t>
      </w:r>
      <w:r>
        <w:rPr>
          <w:rFonts w:ascii="Times New Roman" w:hAnsi="Times New Roman"/>
          <w:sz w:val="20"/>
          <w:szCs w:val="20"/>
          <w:lang w:eastAsia="it-IT"/>
        </w:rPr>
        <w:t>3</w:t>
      </w:r>
      <w:r w:rsidRPr="00CD7FBE">
        <w:rPr>
          <w:rFonts w:ascii="Times New Roman" w:hAnsi="Times New Roman"/>
          <w:sz w:val="20"/>
          <w:szCs w:val="20"/>
          <w:lang w:eastAsia="it-IT"/>
        </w:rPr>
        <w:t xml:space="preserve">0 e del </w:t>
      </w:r>
      <w:r>
        <w:rPr>
          <w:rFonts w:ascii="Times New Roman" w:hAnsi="Times New Roman"/>
          <w:sz w:val="20"/>
          <w:szCs w:val="20"/>
          <w:lang w:eastAsia="it-IT"/>
        </w:rPr>
        <w:t>1</w:t>
      </w:r>
      <w:r w:rsidRPr="00CD7FBE">
        <w:rPr>
          <w:rFonts w:ascii="Times New Roman" w:hAnsi="Times New Roman"/>
          <w:sz w:val="20"/>
          <w:szCs w:val="20"/>
          <w:lang w:eastAsia="it-IT"/>
        </w:rPr>
        <w:t>% per le ulteriori</w:t>
      </w:r>
      <w:r>
        <w:rPr>
          <w:rFonts w:ascii="Times New Roman" w:hAnsi="Times New Roman"/>
          <w:sz w:val="20"/>
          <w:szCs w:val="20"/>
          <w:lang w:eastAsia="it-IT"/>
        </w:rPr>
        <w:t>. Il tutto arrotondato all’unità superiore</w:t>
      </w:r>
      <w:r w:rsidRPr="00CD7FBE">
        <w:rPr>
          <w:rFonts w:ascii="Times New Roman" w:hAnsi="Times New Roman"/>
          <w:sz w:val="20"/>
          <w:szCs w:val="20"/>
          <w:lang w:eastAsia="it-IT"/>
        </w:rPr>
        <w:t>.</w:t>
      </w:r>
      <w:r>
        <w:rPr>
          <w:rFonts w:ascii="Times New Roman" w:hAnsi="Times New Roman"/>
          <w:sz w:val="20"/>
          <w:szCs w:val="20"/>
          <w:lang w:eastAsia="it-IT"/>
        </w:rPr>
        <w:t xml:space="preserve"> Inoltre l</w:t>
      </w:r>
      <w:r w:rsidRPr="00CD7FBE">
        <w:rPr>
          <w:rFonts w:ascii="Times New Roman" w:hAnsi="Times New Roman"/>
          <w:sz w:val="20"/>
          <w:szCs w:val="20"/>
          <w:lang w:eastAsia="it-IT"/>
        </w:rPr>
        <w:t>’</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procederà ad effettuare </w:t>
      </w:r>
      <w:r>
        <w:rPr>
          <w:rFonts w:ascii="Times New Roman" w:hAnsi="Times New Roman"/>
          <w:sz w:val="20"/>
          <w:szCs w:val="20"/>
          <w:lang w:eastAsia="it-IT"/>
        </w:rPr>
        <w:t xml:space="preserve">la verifica a campione del 5% dei progetti gestiti dalla società al fine di poter acquisire una valutazione complessiva delle procedure adottate. </w:t>
      </w:r>
      <w:r w:rsidRPr="00CD7FBE">
        <w:rPr>
          <w:rFonts w:ascii="Times New Roman" w:hAnsi="Times New Roman"/>
          <w:sz w:val="20"/>
          <w:szCs w:val="20"/>
          <w:lang w:eastAsia="it-IT"/>
        </w:rPr>
        <w:t>Qualora da tali verifiche a campione emergesse anche una sola criticità o incongruenza l’</w:t>
      </w:r>
      <w:r w:rsidRPr="00CD7FBE">
        <w:rPr>
          <w:rFonts w:ascii="Times New Roman" w:hAnsi="Times New Roman"/>
          <w:i/>
          <w:sz w:val="20"/>
          <w:szCs w:val="20"/>
          <w:lang w:eastAsia="it-IT"/>
        </w:rPr>
        <w:t>Internal Audit</w:t>
      </w:r>
      <w:r w:rsidRPr="00CD7FBE">
        <w:rPr>
          <w:rFonts w:ascii="Times New Roman" w:hAnsi="Times New Roman"/>
          <w:sz w:val="20"/>
          <w:szCs w:val="20"/>
          <w:lang w:eastAsia="it-IT"/>
        </w:rPr>
        <w:t xml:space="preserve"> procederà ad estendere le verifiche a tutte le procedure ed a tutti gli atti prodotti </w:t>
      </w:r>
      <w:r w:rsidR="000609B8">
        <w:rPr>
          <w:rFonts w:ascii="Times New Roman" w:hAnsi="Times New Roman"/>
          <w:sz w:val="20"/>
          <w:szCs w:val="20"/>
          <w:lang w:eastAsia="it-IT"/>
        </w:rPr>
        <w:t>dal Settore</w:t>
      </w:r>
      <w:r w:rsidRPr="00CD7FBE">
        <w:rPr>
          <w:rFonts w:ascii="Times New Roman" w:hAnsi="Times New Roman"/>
          <w:sz w:val="20"/>
          <w:szCs w:val="20"/>
          <w:lang w:eastAsia="it-IT"/>
        </w:rPr>
        <w:t>/</w:t>
      </w:r>
      <w:r>
        <w:rPr>
          <w:rFonts w:ascii="Times New Roman" w:hAnsi="Times New Roman"/>
          <w:sz w:val="20"/>
          <w:szCs w:val="20"/>
          <w:lang w:eastAsia="it-IT"/>
        </w:rPr>
        <w:t xml:space="preserve">Ufficio </w:t>
      </w:r>
      <w:r w:rsidRPr="00CD7FBE">
        <w:rPr>
          <w:rFonts w:ascii="Times New Roman" w:hAnsi="Times New Roman"/>
          <w:sz w:val="20"/>
          <w:szCs w:val="20"/>
          <w:lang w:eastAsia="it-IT"/>
        </w:rPr>
        <w:t>interessata dalla criticità o incongruenza.</w:t>
      </w:r>
      <w:r>
        <w:rPr>
          <w:rFonts w:ascii="Times New Roman" w:hAnsi="Times New Roman"/>
          <w:sz w:val="20"/>
          <w:szCs w:val="20"/>
          <w:lang w:eastAsia="it-IT"/>
        </w:rPr>
        <w:t xml:space="preserve"> </w:t>
      </w:r>
      <w:r w:rsidRPr="00CD7FBE">
        <w:rPr>
          <w:rFonts w:ascii="Times New Roman" w:hAnsi="Times New Roman"/>
          <w:sz w:val="20"/>
          <w:szCs w:val="20"/>
          <w:lang w:eastAsia="it-IT"/>
        </w:rPr>
        <w:t>Si specifica inoltre che, come evidenziato nel PNA, “</w:t>
      </w:r>
      <w:r w:rsidRPr="00CD7FBE">
        <w:rPr>
          <w:rFonts w:ascii="Times New Roman" w:hAnsi="Times New Roman"/>
          <w:i/>
          <w:sz w:val="20"/>
          <w:szCs w:val="20"/>
          <w:lang w:eastAsia="it-IT"/>
        </w:rPr>
        <w:t>la mancata risposta alle richieste di contatto e di informativa del Responsabile per la prevenzione da parte dei soggetti obbligati in base alle disposizion</w:t>
      </w:r>
      <w:r>
        <w:rPr>
          <w:rFonts w:ascii="Times New Roman" w:hAnsi="Times New Roman"/>
          <w:i/>
          <w:sz w:val="20"/>
          <w:szCs w:val="20"/>
          <w:lang w:eastAsia="it-IT"/>
        </w:rPr>
        <w:t>i</w:t>
      </w:r>
      <w:r w:rsidRPr="00CD7FBE">
        <w:rPr>
          <w:rFonts w:ascii="Times New Roman" w:hAnsi="Times New Roman"/>
          <w:i/>
          <w:sz w:val="20"/>
          <w:szCs w:val="20"/>
          <w:lang w:eastAsia="it-IT"/>
        </w:rPr>
        <w:t xml:space="preserve"> del PTPCT è suscettibile di essere sanzionata disciplinarmente</w:t>
      </w:r>
      <w:r w:rsidRPr="00CD7FBE">
        <w:rPr>
          <w:rFonts w:ascii="Times New Roman" w:hAnsi="Times New Roman"/>
          <w:sz w:val="20"/>
          <w:szCs w:val="20"/>
          <w:lang w:eastAsia="it-IT"/>
        </w:rPr>
        <w:t xml:space="preserve">”. </w:t>
      </w:r>
      <w:r>
        <w:rPr>
          <w:rFonts w:ascii="Times New Roman" w:hAnsi="Times New Roman"/>
          <w:sz w:val="20"/>
          <w:szCs w:val="20"/>
          <w:lang w:eastAsia="it-IT"/>
        </w:rPr>
        <w:t xml:space="preserve"> </w:t>
      </w:r>
      <w:r w:rsidRPr="00CD7FBE">
        <w:rPr>
          <w:rFonts w:ascii="Times New Roman" w:hAnsi="Times New Roman"/>
          <w:sz w:val="20"/>
          <w:szCs w:val="20"/>
          <w:lang w:eastAsia="it-IT"/>
        </w:rPr>
        <w:t>Ciò in quanto, tali soggetti:</w:t>
      </w:r>
    </w:p>
    <w:p w14:paraId="74A15BF3"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CD7FBE">
        <w:rPr>
          <w:rFonts w:ascii="Times New Roman" w:hAnsi="Times New Roman"/>
          <w:sz w:val="20"/>
          <w:szCs w:val="20"/>
          <w:lang w:eastAsia="it-IT"/>
        </w:rPr>
        <w:t>-</w:t>
      </w:r>
      <w:r w:rsidRPr="00CD7FBE">
        <w:rPr>
          <w:rFonts w:ascii="Times New Roman" w:hAnsi="Times New Roman"/>
          <w:sz w:val="20"/>
          <w:szCs w:val="20"/>
          <w:lang w:eastAsia="it-IT"/>
        </w:rPr>
        <w:tab/>
      </w:r>
      <w:r w:rsidRPr="0070096C">
        <w:rPr>
          <w:rFonts w:ascii="Times New Roman" w:hAnsi="Times New Roman"/>
          <w:i/>
          <w:sz w:val="20"/>
          <w:szCs w:val="20"/>
          <w:lang w:eastAsia="it-IT"/>
        </w:rPr>
        <w:t xml:space="preserve">collaborano con il </w:t>
      </w:r>
      <w:r w:rsidRPr="0070096C">
        <w:rPr>
          <w:rFonts w:ascii="Times New Roman" w:hAnsi="Times New Roman"/>
          <w:i/>
          <w:color w:val="000000"/>
          <w:sz w:val="20"/>
          <w:szCs w:val="20"/>
          <w:lang w:eastAsia="it-IT"/>
        </w:rPr>
        <w:t>RPCT</w:t>
      </w:r>
      <w:r w:rsidRPr="0070096C">
        <w:rPr>
          <w:rFonts w:ascii="Times New Roman" w:hAnsi="Times New Roman"/>
          <w:i/>
          <w:sz w:val="20"/>
          <w:szCs w:val="20"/>
          <w:lang w:eastAsia="it-IT"/>
        </w:rPr>
        <w:t xml:space="preserve"> sia nella fase di predisposizione del Piano che in quella di attuazione in un rapporto sinergico finalizzato al raggiungimento del comune obiettivo;</w:t>
      </w:r>
    </w:p>
    <w:p w14:paraId="6D5167CB"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70096C">
        <w:rPr>
          <w:rFonts w:ascii="Times New Roman" w:hAnsi="Times New Roman"/>
          <w:i/>
          <w:sz w:val="20"/>
          <w:szCs w:val="20"/>
          <w:lang w:eastAsia="it-IT"/>
        </w:rPr>
        <w:t>-</w:t>
      </w:r>
      <w:r w:rsidRPr="0070096C">
        <w:rPr>
          <w:rFonts w:ascii="Times New Roman" w:hAnsi="Times New Roman"/>
          <w:i/>
          <w:sz w:val="20"/>
          <w:szCs w:val="20"/>
          <w:lang w:eastAsia="it-IT"/>
        </w:rPr>
        <w:tab/>
        <w:t>sono responsabili per l’attuazione delle misure contenute nel Piano nonché per il rispetto degli obblighi di pubblicazione ai fini della trasparenza;</w:t>
      </w:r>
    </w:p>
    <w:p w14:paraId="6707D3F3" w14:textId="77777777" w:rsidR="00603F3F" w:rsidRPr="0070096C" w:rsidRDefault="00603F3F" w:rsidP="00603F3F">
      <w:pPr>
        <w:widowControl w:val="0"/>
        <w:autoSpaceDE w:val="0"/>
        <w:autoSpaceDN w:val="0"/>
        <w:adjustRightInd w:val="0"/>
        <w:spacing w:after="0"/>
        <w:ind w:left="284" w:hanging="284"/>
        <w:jc w:val="both"/>
        <w:rPr>
          <w:rFonts w:ascii="Times New Roman" w:hAnsi="Times New Roman"/>
          <w:i/>
          <w:sz w:val="20"/>
          <w:szCs w:val="20"/>
          <w:lang w:eastAsia="it-IT"/>
        </w:rPr>
      </w:pPr>
      <w:r w:rsidRPr="0070096C">
        <w:rPr>
          <w:rFonts w:ascii="Times New Roman" w:hAnsi="Times New Roman"/>
          <w:i/>
          <w:sz w:val="20"/>
          <w:szCs w:val="20"/>
          <w:lang w:eastAsia="it-IT"/>
        </w:rPr>
        <w:t>-</w:t>
      </w:r>
      <w:r w:rsidRPr="0070096C">
        <w:rPr>
          <w:rFonts w:ascii="Times New Roman" w:hAnsi="Times New Roman"/>
          <w:i/>
          <w:sz w:val="20"/>
          <w:szCs w:val="20"/>
          <w:lang w:eastAsia="it-IT"/>
        </w:rPr>
        <w:tab/>
        <w:t>esercitano un’attività di coordinamento e di controllo nei confronti dei preposti alle Direzioni/Aree/Unità di Staff.</w:t>
      </w:r>
    </w:p>
    <w:p w14:paraId="325AFF33"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p>
    <w:p w14:paraId="67FD0CE9" w14:textId="7777777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Tra le attività di monitoraggio e controllo rientrano, a titolo esemplificativo e non esaustivo: </w:t>
      </w:r>
    </w:p>
    <w:p w14:paraId="71E52820" w14:textId="77777777" w:rsidR="00603F3F" w:rsidRPr="00524D78"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CD7FBE">
        <w:rPr>
          <w:rFonts w:ascii="Times New Roman" w:hAnsi="Times New Roman"/>
          <w:color w:val="000000"/>
          <w:sz w:val="20"/>
          <w:szCs w:val="20"/>
          <w:lang w:eastAsia="it-IT"/>
        </w:rPr>
        <w:t>-</w:t>
      </w:r>
      <w:r w:rsidRPr="00CD7FBE">
        <w:rPr>
          <w:rFonts w:ascii="Times New Roman" w:hAnsi="Times New Roman"/>
          <w:color w:val="000000"/>
          <w:sz w:val="20"/>
          <w:szCs w:val="20"/>
          <w:lang w:eastAsia="it-IT"/>
        </w:rPr>
        <w:tab/>
      </w:r>
      <w:r w:rsidRPr="00524D78">
        <w:rPr>
          <w:rFonts w:ascii="Times New Roman" w:hAnsi="Times New Roman"/>
          <w:i/>
          <w:color w:val="000000"/>
          <w:sz w:val="20"/>
          <w:szCs w:val="20"/>
          <w:lang w:eastAsia="it-IT"/>
        </w:rPr>
        <w:t xml:space="preserve">la verifica dell'attuazione delle misure definite nel Piano; </w:t>
      </w:r>
    </w:p>
    <w:p w14:paraId="7F413986" w14:textId="77777777" w:rsidR="00603F3F" w:rsidRPr="00524D78"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524D78">
        <w:rPr>
          <w:rFonts w:ascii="Times New Roman" w:hAnsi="Times New Roman"/>
          <w:i/>
          <w:color w:val="000000"/>
          <w:sz w:val="20"/>
          <w:szCs w:val="20"/>
          <w:lang w:eastAsia="it-IT"/>
        </w:rPr>
        <w:t>-</w:t>
      </w:r>
      <w:r w:rsidRPr="00524D78">
        <w:rPr>
          <w:rFonts w:ascii="Times New Roman" w:hAnsi="Times New Roman"/>
          <w:i/>
          <w:color w:val="000000"/>
          <w:sz w:val="20"/>
          <w:szCs w:val="20"/>
          <w:lang w:eastAsia="it-IT"/>
        </w:rPr>
        <w:tab/>
        <w:t xml:space="preserve">l'esame delle informazioni sulle modalità di svolgimento dei processi a rischio; </w:t>
      </w:r>
    </w:p>
    <w:p w14:paraId="0448CB16" w14:textId="77777777" w:rsidR="00603F3F" w:rsidRPr="00524D78" w:rsidRDefault="00603F3F" w:rsidP="00603F3F">
      <w:pPr>
        <w:widowControl w:val="0"/>
        <w:autoSpaceDE w:val="0"/>
        <w:autoSpaceDN w:val="0"/>
        <w:adjustRightInd w:val="0"/>
        <w:spacing w:after="0"/>
        <w:ind w:left="284" w:hanging="284"/>
        <w:jc w:val="both"/>
        <w:rPr>
          <w:rFonts w:ascii="Times New Roman" w:hAnsi="Times New Roman"/>
          <w:i/>
          <w:color w:val="000000"/>
          <w:sz w:val="20"/>
          <w:szCs w:val="20"/>
          <w:lang w:eastAsia="it-IT"/>
        </w:rPr>
      </w:pPr>
      <w:r w:rsidRPr="00524D78">
        <w:rPr>
          <w:rFonts w:ascii="Times New Roman" w:hAnsi="Times New Roman"/>
          <w:i/>
          <w:color w:val="000000"/>
          <w:sz w:val="20"/>
          <w:szCs w:val="20"/>
          <w:lang w:eastAsia="it-IT"/>
        </w:rPr>
        <w:t>-</w:t>
      </w:r>
      <w:r w:rsidRPr="00524D78">
        <w:rPr>
          <w:rFonts w:ascii="Times New Roman" w:hAnsi="Times New Roman"/>
          <w:i/>
          <w:color w:val="000000"/>
          <w:sz w:val="20"/>
          <w:szCs w:val="20"/>
          <w:lang w:eastAsia="it-IT"/>
        </w:rPr>
        <w:tab/>
        <w:t xml:space="preserve">l'analisi e la successiva verifica di segnalazioni relative alla commissione di reati di corruzione pervenute tramite il meccanismo del </w:t>
      </w:r>
      <w:r w:rsidRPr="00524D78">
        <w:rPr>
          <w:rFonts w:ascii="Times New Roman" w:hAnsi="Times New Roman"/>
          <w:i/>
          <w:iCs/>
          <w:color w:val="000000"/>
          <w:sz w:val="20"/>
          <w:szCs w:val="20"/>
          <w:lang w:eastAsia="it-IT"/>
        </w:rPr>
        <w:t xml:space="preserve">Whistleblowing </w:t>
      </w:r>
      <w:r w:rsidRPr="00524D78">
        <w:rPr>
          <w:rFonts w:ascii="Times New Roman" w:hAnsi="Times New Roman"/>
          <w:i/>
          <w:color w:val="000000"/>
          <w:sz w:val="20"/>
          <w:szCs w:val="20"/>
          <w:lang w:eastAsia="it-IT"/>
        </w:rPr>
        <w:t xml:space="preserve">o attraverso fonti esterne; </w:t>
      </w:r>
    </w:p>
    <w:p w14:paraId="77A3B2C7" w14:textId="77777777" w:rsidR="00603F3F" w:rsidRPr="00524D78"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524D78">
        <w:rPr>
          <w:rFonts w:ascii="Times New Roman" w:hAnsi="Times New Roman" w:cs="Times New Roman"/>
          <w:i/>
          <w:sz w:val="20"/>
          <w:szCs w:val="20"/>
        </w:rPr>
        <w:t>-</w:t>
      </w:r>
      <w:r w:rsidRPr="00524D78">
        <w:rPr>
          <w:rFonts w:ascii="Times New Roman" w:hAnsi="Times New Roman" w:cs="Times New Roman"/>
          <w:i/>
          <w:sz w:val="20"/>
          <w:szCs w:val="20"/>
        </w:rPr>
        <w:tab/>
        <w:t xml:space="preserve">la verifica dell’adeguatezza delle misure previste dal Piano sulla base di eventuali segnalazioni pervenute al RPCT da parte di soggetti esterni o interni o attraverso gli esiti dell’attività di monitoraggio. </w:t>
      </w:r>
    </w:p>
    <w:p w14:paraId="5E0E6770" w14:textId="77777777" w:rsidR="00603F3F" w:rsidRPr="00524D78" w:rsidRDefault="00603F3F" w:rsidP="00603F3F">
      <w:pPr>
        <w:widowControl w:val="0"/>
        <w:autoSpaceDE w:val="0"/>
        <w:autoSpaceDN w:val="0"/>
        <w:adjustRightInd w:val="0"/>
        <w:spacing w:after="0"/>
        <w:jc w:val="both"/>
        <w:rPr>
          <w:rFonts w:ascii="Times New Roman" w:hAnsi="Times New Roman"/>
          <w:i/>
          <w:color w:val="000000"/>
          <w:sz w:val="20"/>
          <w:szCs w:val="20"/>
          <w:lang w:eastAsia="it-IT"/>
        </w:rPr>
      </w:pPr>
    </w:p>
    <w:p w14:paraId="4C2EACE2" w14:textId="0DD80897"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riferisce all’</w:t>
      </w:r>
      <w:r w:rsidR="002A7570">
        <w:rPr>
          <w:rFonts w:ascii="Times New Roman" w:hAnsi="Times New Roman"/>
          <w:color w:val="000000"/>
          <w:sz w:val="20"/>
          <w:szCs w:val="20"/>
          <w:lang w:eastAsia="it-IT"/>
        </w:rPr>
        <w:t xml:space="preserve">Amministratore Unico </w:t>
      </w:r>
      <w:r w:rsidRPr="00CD7FBE">
        <w:rPr>
          <w:rFonts w:ascii="Times New Roman" w:hAnsi="Times New Roman"/>
          <w:color w:val="000000"/>
          <w:sz w:val="20"/>
          <w:szCs w:val="20"/>
          <w:lang w:eastAsia="it-IT"/>
        </w:rPr>
        <w:t xml:space="preserve">sull’esito dei monitoraggi e delle iniziative adottate ogni qualvolta sia necessaria una maggiore tempestività nell’informazione. La relazione annuale che il </w:t>
      </w:r>
      <w:r>
        <w:rPr>
          <w:rFonts w:ascii="Times New Roman" w:hAnsi="Times New Roman"/>
          <w:color w:val="000000"/>
          <w:sz w:val="20"/>
          <w:szCs w:val="20"/>
          <w:lang w:eastAsia="it-IT"/>
        </w:rPr>
        <w:t>RPCT</w:t>
      </w:r>
      <w:r w:rsidRPr="00CD7FBE">
        <w:rPr>
          <w:rFonts w:ascii="Times New Roman" w:hAnsi="Times New Roman"/>
          <w:color w:val="000000"/>
          <w:sz w:val="20"/>
          <w:szCs w:val="20"/>
          <w:lang w:eastAsia="it-IT"/>
        </w:rPr>
        <w:t xml:space="preserve"> deve redigere entro il 31 dicembre di ogni anno, secondo quanto previsto dalla L. n. 190/2012, o diversa data stabilita dall’ANAC, è presentata all’</w:t>
      </w:r>
      <w:r w:rsidR="002A7570">
        <w:rPr>
          <w:rFonts w:ascii="Times New Roman" w:hAnsi="Times New Roman"/>
          <w:color w:val="000000"/>
          <w:sz w:val="20"/>
          <w:szCs w:val="20"/>
          <w:lang w:eastAsia="it-IT"/>
        </w:rPr>
        <w:t xml:space="preserve">Amministratore Unico </w:t>
      </w:r>
      <w:r w:rsidRPr="00CD7FBE">
        <w:rPr>
          <w:rFonts w:ascii="Times New Roman" w:hAnsi="Times New Roman"/>
          <w:color w:val="000000"/>
          <w:sz w:val="20"/>
          <w:szCs w:val="20"/>
          <w:lang w:eastAsia="it-IT"/>
        </w:rPr>
        <w:t>e pubblicata sul sito istituzionale.</w:t>
      </w:r>
    </w:p>
    <w:p w14:paraId="35AB451A" w14:textId="77777777" w:rsidR="00603F3F" w:rsidRPr="00CD7FBE" w:rsidRDefault="00603F3F" w:rsidP="00603F3F">
      <w:pPr>
        <w:widowControl w:val="0"/>
        <w:spacing w:after="0"/>
        <w:jc w:val="both"/>
        <w:rPr>
          <w:rFonts w:ascii="Times New Roman" w:hAnsi="Times New Roman"/>
          <w:i/>
          <w:sz w:val="20"/>
          <w:szCs w:val="20"/>
        </w:rPr>
      </w:pPr>
    </w:p>
    <w:p w14:paraId="320045BE" w14:textId="0AEE387B" w:rsidR="00603F3F" w:rsidRPr="00CD7FBE" w:rsidRDefault="00603F3F" w:rsidP="00603F3F">
      <w:pPr>
        <w:widowControl w:val="0"/>
        <w:spacing w:after="0"/>
        <w:jc w:val="both"/>
        <w:rPr>
          <w:rFonts w:ascii="Times New Roman" w:hAnsi="Times New Roman"/>
          <w:bCs/>
          <w:iCs/>
          <w:sz w:val="20"/>
          <w:szCs w:val="20"/>
        </w:rPr>
      </w:pPr>
      <w:r w:rsidRPr="00CD7FBE">
        <w:rPr>
          <w:rFonts w:ascii="Times New Roman" w:hAnsi="Times New Roman"/>
          <w:bCs/>
          <w:sz w:val="20"/>
          <w:szCs w:val="20"/>
        </w:rPr>
        <w:t>Per i dipendenti in servizio pr</w:t>
      </w:r>
      <w:r w:rsidR="00A00246">
        <w:rPr>
          <w:rFonts w:ascii="Times New Roman" w:hAnsi="Times New Roman"/>
          <w:bCs/>
          <w:sz w:val="20"/>
          <w:szCs w:val="20"/>
        </w:rPr>
        <w:t>esso le sedi del Comune di Marino</w:t>
      </w:r>
      <w:r w:rsidRPr="00CD7FBE">
        <w:rPr>
          <w:rFonts w:ascii="Times New Roman" w:hAnsi="Times New Roman"/>
          <w:bCs/>
          <w:sz w:val="20"/>
          <w:szCs w:val="20"/>
        </w:rPr>
        <w:t xml:space="preserve"> e/o operativi su attività e servizi connessi alle funzi</w:t>
      </w:r>
      <w:r w:rsidR="00A00246">
        <w:rPr>
          <w:rFonts w:ascii="Times New Roman" w:hAnsi="Times New Roman"/>
          <w:bCs/>
          <w:sz w:val="20"/>
          <w:szCs w:val="20"/>
        </w:rPr>
        <w:t>oni amministrative del Comune stesso</w:t>
      </w:r>
      <w:r w:rsidRPr="00CD7FBE">
        <w:rPr>
          <w:rFonts w:ascii="Times New Roman" w:hAnsi="Times New Roman"/>
          <w:bCs/>
          <w:i/>
          <w:iCs/>
          <w:sz w:val="20"/>
          <w:szCs w:val="20"/>
        </w:rPr>
        <w:t xml:space="preserve"> </w:t>
      </w:r>
      <w:r w:rsidRPr="00CD7FBE">
        <w:rPr>
          <w:rFonts w:ascii="Times New Roman" w:hAnsi="Times New Roman"/>
          <w:bCs/>
          <w:iCs/>
          <w:sz w:val="20"/>
          <w:szCs w:val="20"/>
        </w:rPr>
        <w:t>(Giunta e Consiglio), l</w:t>
      </w:r>
      <w:r w:rsidRPr="00CD7FBE">
        <w:rPr>
          <w:rFonts w:ascii="Times New Roman" w:hAnsi="Times New Roman"/>
          <w:bCs/>
          <w:sz w:val="20"/>
          <w:szCs w:val="20"/>
        </w:rPr>
        <w:t xml:space="preserve">’attività </w:t>
      </w:r>
      <w:r w:rsidRPr="00CD7FBE">
        <w:rPr>
          <w:rFonts w:ascii="Times New Roman" w:hAnsi="Times New Roman"/>
          <w:bCs/>
          <w:iCs/>
          <w:sz w:val="20"/>
          <w:szCs w:val="20"/>
        </w:rPr>
        <w:t xml:space="preserve">di controllo e </w:t>
      </w:r>
      <w:r w:rsidRPr="00CD7FBE">
        <w:rPr>
          <w:rFonts w:ascii="Times New Roman" w:hAnsi="Times New Roman"/>
          <w:bCs/>
          <w:sz w:val="20"/>
          <w:szCs w:val="20"/>
        </w:rPr>
        <w:t>di monitoraggio del rispetto dell’obbligo di osservanza delle prescrizioni previste nel PTPCT e dal Codice di Comportamento adottato dalla Giunta e dal Consiglio d</w:t>
      </w:r>
      <w:r w:rsidR="00A00246">
        <w:rPr>
          <w:rFonts w:ascii="Times New Roman" w:hAnsi="Times New Roman"/>
          <w:bCs/>
          <w:sz w:val="20"/>
          <w:szCs w:val="20"/>
        </w:rPr>
        <w:t>el</w:t>
      </w:r>
      <w:r w:rsidRPr="00CD7FBE">
        <w:rPr>
          <w:rFonts w:ascii="Times New Roman" w:hAnsi="Times New Roman"/>
          <w:bCs/>
          <w:sz w:val="20"/>
          <w:szCs w:val="20"/>
        </w:rPr>
        <w:t xml:space="preserve"> </w:t>
      </w:r>
      <w:r w:rsidR="00745183">
        <w:rPr>
          <w:rFonts w:ascii="Times New Roman" w:hAnsi="Times New Roman"/>
          <w:bCs/>
          <w:sz w:val="20"/>
          <w:szCs w:val="20"/>
        </w:rPr>
        <w:t xml:space="preserve">Comune di Marino </w:t>
      </w:r>
      <w:r w:rsidRPr="00CD7FBE">
        <w:rPr>
          <w:rFonts w:ascii="Times New Roman" w:hAnsi="Times New Roman"/>
          <w:bCs/>
          <w:iCs/>
          <w:sz w:val="20"/>
          <w:szCs w:val="20"/>
        </w:rPr>
        <w:t>viene svolta dai rispettivi Responsabili della Prevenzione della Corruzione e della Trasparenza. A tal fine è stato condiviso tra i suddetti Responsabili e l’OdV/</w:t>
      </w:r>
      <w:r>
        <w:rPr>
          <w:rFonts w:ascii="Times New Roman" w:hAnsi="Times New Roman"/>
          <w:color w:val="000000"/>
          <w:sz w:val="20"/>
          <w:szCs w:val="20"/>
          <w:lang w:eastAsia="it-IT"/>
        </w:rPr>
        <w:t>RPCT</w:t>
      </w:r>
      <w:r w:rsidRPr="00CD7FBE">
        <w:rPr>
          <w:rFonts w:ascii="Times New Roman" w:hAnsi="Times New Roman"/>
          <w:bCs/>
          <w:iCs/>
          <w:sz w:val="20"/>
          <w:szCs w:val="20"/>
        </w:rPr>
        <w:t xml:space="preserve"> d</w:t>
      </w:r>
      <w:r>
        <w:rPr>
          <w:rFonts w:ascii="Times New Roman" w:hAnsi="Times New Roman"/>
          <w:bCs/>
          <w:iCs/>
          <w:sz w:val="20"/>
          <w:szCs w:val="20"/>
        </w:rPr>
        <w:t>ella società</w:t>
      </w:r>
      <w:r w:rsidRPr="00CD7FBE">
        <w:rPr>
          <w:rFonts w:ascii="Times New Roman" w:hAnsi="Times New Roman"/>
          <w:bCs/>
          <w:iCs/>
          <w:sz w:val="20"/>
          <w:szCs w:val="20"/>
        </w:rPr>
        <w:t xml:space="preserve"> un flusso informativo continuo su tutte le criticità eventualmente rilevate ai fini di porre in essere le azioni di rispettiva competenza.</w:t>
      </w:r>
      <w:r w:rsidRPr="00CD7FBE">
        <w:rPr>
          <w:rFonts w:ascii="Times New Roman" w:hAnsi="Times New Roman"/>
          <w:sz w:val="20"/>
          <w:szCs w:val="20"/>
        </w:rPr>
        <w:t xml:space="preserve"> </w:t>
      </w:r>
      <w:r w:rsidRPr="00CD7FBE">
        <w:rPr>
          <w:rFonts w:ascii="Times New Roman" w:hAnsi="Times New Roman"/>
          <w:bCs/>
          <w:iCs/>
          <w:sz w:val="20"/>
          <w:szCs w:val="20"/>
        </w:rPr>
        <w:t xml:space="preserve">Si precisa che tale prescrizione sarà riportata in tutti i contratti di servizio disciplinanti i rapporti con </w:t>
      </w:r>
      <w:r w:rsidR="00FC4B2D">
        <w:rPr>
          <w:rFonts w:ascii="Times New Roman" w:hAnsi="Times New Roman"/>
          <w:bCs/>
          <w:iCs/>
          <w:sz w:val="20"/>
          <w:szCs w:val="20"/>
        </w:rPr>
        <w:t>il Comune di Marino</w:t>
      </w:r>
      <w:r w:rsidRPr="00CD7FBE">
        <w:rPr>
          <w:rFonts w:ascii="Times New Roman" w:hAnsi="Times New Roman"/>
          <w:bCs/>
          <w:iCs/>
          <w:sz w:val="20"/>
          <w:szCs w:val="20"/>
        </w:rPr>
        <w:t>.</w:t>
      </w:r>
    </w:p>
    <w:p w14:paraId="4F805507" w14:textId="77777777" w:rsidR="00603F3F" w:rsidRPr="00CD7FBE" w:rsidRDefault="00603F3F" w:rsidP="00603F3F">
      <w:pPr>
        <w:widowControl w:val="0"/>
        <w:spacing w:after="0"/>
        <w:jc w:val="center"/>
        <w:rPr>
          <w:rFonts w:ascii="Times New Roman" w:hAnsi="Times New Roman"/>
          <w:b/>
          <w:color w:val="2E74B5"/>
          <w:sz w:val="40"/>
          <w:szCs w:val="40"/>
        </w:rPr>
      </w:pPr>
      <w:r w:rsidRPr="00CD7FBE">
        <w:rPr>
          <w:rFonts w:ascii="Times New Roman" w:hAnsi="Times New Roman"/>
          <w:b/>
          <w:color w:val="000000"/>
          <w:sz w:val="20"/>
          <w:szCs w:val="20"/>
          <w:lang w:eastAsia="it-IT"/>
        </w:rPr>
        <w:br w:type="page"/>
      </w:r>
      <w:bookmarkStart w:id="777" w:name="_Toc418505939"/>
      <w:bookmarkStart w:id="778" w:name="_Toc446274580"/>
      <w:r w:rsidRPr="00CD7FBE">
        <w:rPr>
          <w:rFonts w:ascii="Times New Roman" w:hAnsi="Times New Roman"/>
          <w:b/>
          <w:color w:val="2E74B5"/>
          <w:sz w:val="40"/>
          <w:szCs w:val="40"/>
        </w:rPr>
        <w:t>Sezione II</w:t>
      </w:r>
      <w:bookmarkEnd w:id="777"/>
      <w:bookmarkEnd w:id="778"/>
      <w:r>
        <w:rPr>
          <w:rFonts w:ascii="Times New Roman" w:hAnsi="Times New Roman"/>
          <w:b/>
          <w:color w:val="2E74B5"/>
          <w:sz w:val="40"/>
          <w:szCs w:val="40"/>
        </w:rPr>
        <w:t>I</w:t>
      </w:r>
    </w:p>
    <w:p w14:paraId="094AC091" w14:textId="77777777" w:rsidR="00603F3F" w:rsidRPr="00CD7FBE" w:rsidRDefault="00603F3F" w:rsidP="00603F3F">
      <w:pPr>
        <w:widowControl w:val="0"/>
        <w:spacing w:after="0"/>
        <w:rPr>
          <w:rFonts w:ascii="Times New Roman" w:hAnsi="Times New Roman"/>
          <w:color w:val="2E74B5"/>
          <w:lang w:val="x-none"/>
        </w:rPr>
      </w:pPr>
    </w:p>
    <w:p w14:paraId="13CA380C" w14:textId="77777777" w:rsidR="00603F3F" w:rsidRPr="00CD7FBE" w:rsidRDefault="00603F3F" w:rsidP="00603F3F">
      <w:pPr>
        <w:widowControl w:val="0"/>
        <w:spacing w:after="0"/>
        <w:rPr>
          <w:rFonts w:ascii="Times New Roman" w:hAnsi="Times New Roman"/>
          <w:color w:val="2E74B5"/>
          <w:lang w:val="x-none"/>
        </w:rPr>
      </w:pPr>
    </w:p>
    <w:p w14:paraId="4FD4CEC5" w14:textId="77777777" w:rsidR="00603F3F" w:rsidRPr="00CD7FBE" w:rsidRDefault="00603F3F" w:rsidP="00603F3F">
      <w:pPr>
        <w:widowControl w:val="0"/>
        <w:spacing w:after="0"/>
        <w:rPr>
          <w:rFonts w:ascii="Times New Roman" w:hAnsi="Times New Roman"/>
          <w:color w:val="2E74B5"/>
          <w:lang w:val="x-none"/>
        </w:rPr>
      </w:pPr>
    </w:p>
    <w:p w14:paraId="320D2E10" w14:textId="77777777" w:rsidR="00603F3F" w:rsidRPr="00CD7FBE" w:rsidRDefault="00603F3F" w:rsidP="00603F3F">
      <w:pPr>
        <w:widowControl w:val="0"/>
        <w:spacing w:after="0"/>
        <w:rPr>
          <w:rFonts w:ascii="Times New Roman" w:hAnsi="Times New Roman"/>
          <w:color w:val="2E74B5"/>
          <w:lang w:val="x-none"/>
        </w:rPr>
      </w:pPr>
    </w:p>
    <w:p w14:paraId="3EACF521" w14:textId="77777777" w:rsidR="00603F3F" w:rsidRPr="00CD7FBE" w:rsidRDefault="00603F3F" w:rsidP="00603F3F">
      <w:pPr>
        <w:widowControl w:val="0"/>
        <w:spacing w:after="0"/>
        <w:rPr>
          <w:rFonts w:ascii="Times New Roman" w:hAnsi="Times New Roman"/>
          <w:color w:val="2E74B5"/>
          <w:lang w:val="x-none"/>
        </w:rPr>
      </w:pPr>
    </w:p>
    <w:p w14:paraId="0C44BA40" w14:textId="77777777" w:rsidR="00603F3F" w:rsidRPr="00CD7FBE" w:rsidRDefault="00603F3F" w:rsidP="00603F3F">
      <w:pPr>
        <w:widowControl w:val="0"/>
        <w:spacing w:after="0"/>
        <w:rPr>
          <w:rFonts w:ascii="Times New Roman" w:hAnsi="Times New Roman"/>
          <w:color w:val="2E74B5"/>
          <w:lang w:val="x-none"/>
        </w:rPr>
      </w:pPr>
    </w:p>
    <w:p w14:paraId="43A9D2C3" w14:textId="77777777" w:rsidR="00603F3F" w:rsidRPr="00CD7FBE" w:rsidRDefault="00603F3F" w:rsidP="00603F3F">
      <w:pPr>
        <w:widowControl w:val="0"/>
        <w:spacing w:after="0"/>
        <w:rPr>
          <w:rFonts w:ascii="Times New Roman" w:hAnsi="Times New Roman"/>
          <w:color w:val="2E74B5"/>
          <w:lang w:val="x-none"/>
        </w:rPr>
      </w:pPr>
    </w:p>
    <w:p w14:paraId="65074E71" w14:textId="77777777" w:rsidR="00603F3F" w:rsidRPr="00CD7FBE" w:rsidRDefault="00603F3F" w:rsidP="00603F3F">
      <w:pPr>
        <w:widowControl w:val="0"/>
        <w:spacing w:after="0"/>
        <w:rPr>
          <w:rFonts w:ascii="Times New Roman" w:hAnsi="Times New Roman"/>
          <w:color w:val="2E74B5"/>
          <w:lang w:val="x-none"/>
        </w:rPr>
      </w:pPr>
    </w:p>
    <w:p w14:paraId="64592974" w14:textId="77777777" w:rsidR="00603F3F" w:rsidRPr="00CD7FBE" w:rsidRDefault="00603F3F" w:rsidP="00603F3F">
      <w:pPr>
        <w:widowControl w:val="0"/>
        <w:spacing w:after="0"/>
        <w:rPr>
          <w:rFonts w:ascii="Times New Roman" w:hAnsi="Times New Roman"/>
          <w:color w:val="2E74B5"/>
          <w:lang w:val="x-none"/>
        </w:rPr>
      </w:pPr>
    </w:p>
    <w:p w14:paraId="4B983044" w14:textId="77777777" w:rsidR="00603F3F" w:rsidRPr="00CD7FBE" w:rsidRDefault="00603F3F" w:rsidP="00603F3F">
      <w:pPr>
        <w:widowControl w:val="0"/>
        <w:spacing w:after="0"/>
        <w:rPr>
          <w:rFonts w:ascii="Times New Roman" w:hAnsi="Times New Roman"/>
          <w:color w:val="2E74B5"/>
          <w:lang w:val="x-none"/>
        </w:rPr>
      </w:pPr>
    </w:p>
    <w:p w14:paraId="2880747A" w14:textId="77777777" w:rsidR="00603F3F" w:rsidRPr="00CD7FBE" w:rsidRDefault="00603F3F" w:rsidP="00603F3F">
      <w:pPr>
        <w:widowControl w:val="0"/>
        <w:spacing w:after="0"/>
        <w:rPr>
          <w:rFonts w:ascii="Times New Roman" w:hAnsi="Times New Roman"/>
          <w:color w:val="2E74B5"/>
          <w:lang w:val="x-none"/>
        </w:rPr>
      </w:pPr>
    </w:p>
    <w:p w14:paraId="630122A4" w14:textId="77777777" w:rsidR="00603F3F" w:rsidRPr="00CD7FBE" w:rsidRDefault="00603F3F" w:rsidP="00603F3F">
      <w:pPr>
        <w:widowControl w:val="0"/>
        <w:spacing w:after="0"/>
        <w:rPr>
          <w:rFonts w:ascii="Times New Roman" w:hAnsi="Times New Roman"/>
          <w:color w:val="2E74B5"/>
          <w:lang w:val="x-none"/>
        </w:rPr>
      </w:pPr>
    </w:p>
    <w:p w14:paraId="3D9AE1DE" w14:textId="77777777" w:rsidR="00603F3F" w:rsidRPr="00CD7FBE" w:rsidRDefault="00603F3F" w:rsidP="00603F3F">
      <w:pPr>
        <w:widowControl w:val="0"/>
        <w:spacing w:after="0"/>
        <w:rPr>
          <w:rFonts w:ascii="Times New Roman" w:hAnsi="Times New Roman"/>
          <w:color w:val="2E74B5"/>
          <w:lang w:val="x-none"/>
        </w:rPr>
      </w:pPr>
    </w:p>
    <w:p w14:paraId="79D7D7E3" w14:textId="77777777" w:rsidR="00603F3F" w:rsidRPr="00CD7FBE" w:rsidRDefault="00603F3F" w:rsidP="00603F3F">
      <w:pPr>
        <w:widowControl w:val="0"/>
        <w:spacing w:after="0"/>
        <w:rPr>
          <w:rFonts w:ascii="Times New Roman" w:hAnsi="Times New Roman"/>
          <w:color w:val="2E74B5"/>
          <w:lang w:val="x-none"/>
        </w:rPr>
      </w:pPr>
    </w:p>
    <w:p w14:paraId="6882224A" w14:textId="77777777" w:rsidR="00603F3F" w:rsidRPr="00CD7FBE" w:rsidRDefault="00603F3F" w:rsidP="00603F3F">
      <w:pPr>
        <w:widowControl w:val="0"/>
        <w:spacing w:after="0"/>
        <w:rPr>
          <w:rFonts w:ascii="Times New Roman" w:hAnsi="Times New Roman"/>
          <w:color w:val="2E74B5"/>
          <w:lang w:val="x-none"/>
        </w:rPr>
      </w:pPr>
    </w:p>
    <w:p w14:paraId="636A506A" w14:textId="77777777" w:rsidR="00603F3F" w:rsidRPr="00A040E3" w:rsidRDefault="00603F3F" w:rsidP="00603F3F">
      <w:pPr>
        <w:pStyle w:val="Titolo1"/>
        <w:keepNext w:val="0"/>
        <w:widowControl w:val="0"/>
        <w:rPr>
          <w:b w:val="0"/>
          <w:smallCaps/>
          <w:sz w:val="96"/>
          <w:szCs w:val="96"/>
        </w:rPr>
      </w:pPr>
      <w:bookmarkStart w:id="779" w:name="_Toc418505940"/>
      <w:bookmarkStart w:id="780" w:name="_Toc454796247"/>
      <w:bookmarkStart w:id="781" w:name="_Toc454796309"/>
      <w:bookmarkStart w:id="782" w:name="_Toc473547430"/>
      <w:bookmarkStart w:id="783" w:name="_Toc535854476"/>
      <w:r w:rsidRPr="00A040E3">
        <w:rPr>
          <w:b w:val="0"/>
          <w:smallCaps/>
          <w:sz w:val="96"/>
          <w:szCs w:val="96"/>
        </w:rPr>
        <w:t>Trasparenza</w:t>
      </w:r>
      <w:bookmarkEnd w:id="779"/>
      <w:bookmarkEnd w:id="780"/>
      <w:bookmarkEnd w:id="781"/>
      <w:bookmarkEnd w:id="782"/>
      <w:bookmarkEnd w:id="783"/>
    </w:p>
    <w:p w14:paraId="009BE30E" w14:textId="77777777" w:rsidR="00603F3F" w:rsidRPr="00426734" w:rsidRDefault="00603F3F" w:rsidP="00603F3F">
      <w:pPr>
        <w:widowControl w:val="0"/>
        <w:spacing w:after="0"/>
        <w:jc w:val="center"/>
        <w:rPr>
          <w:sz w:val="14"/>
        </w:rPr>
      </w:pPr>
      <w:r w:rsidRPr="00FB1545">
        <w:rPr>
          <w:shd w:val="clear" w:color="auto" w:fill="FFFFFF"/>
        </w:rPr>
        <w:br w:type="page"/>
      </w:r>
    </w:p>
    <w:p w14:paraId="77623CD1" w14:textId="77777777" w:rsidR="00603F3F" w:rsidRPr="00816CA8" w:rsidRDefault="00603F3F" w:rsidP="003E3269">
      <w:pPr>
        <w:pStyle w:val="Titolo2"/>
        <w:keepNext w:val="0"/>
        <w:numPr>
          <w:ilvl w:val="0"/>
          <w:numId w:val="35"/>
        </w:numPr>
        <w:spacing w:line="276" w:lineRule="auto"/>
        <w:ind w:left="284" w:hanging="284"/>
        <w:rPr>
          <w:color w:val="0070C0"/>
        </w:rPr>
      </w:pPr>
      <w:bookmarkStart w:id="784" w:name="_Toc454796249"/>
      <w:bookmarkStart w:id="785" w:name="_Toc454796311"/>
      <w:bookmarkStart w:id="786" w:name="_Toc471996552"/>
      <w:bookmarkStart w:id="787" w:name="_Toc473547431"/>
      <w:bookmarkStart w:id="788" w:name="_Toc535854477"/>
      <w:r w:rsidRPr="00816CA8">
        <w:rPr>
          <w:color w:val="0070C0"/>
        </w:rPr>
        <w:t>I riferimenti normativi</w:t>
      </w:r>
      <w:bookmarkEnd w:id="784"/>
      <w:bookmarkEnd w:id="785"/>
      <w:bookmarkEnd w:id="786"/>
      <w:bookmarkEnd w:id="787"/>
      <w:bookmarkEnd w:id="788"/>
      <w:r w:rsidRPr="00816CA8">
        <w:rPr>
          <w:color w:val="0070C0"/>
        </w:rPr>
        <w:t xml:space="preserve"> </w:t>
      </w:r>
    </w:p>
    <w:p w14:paraId="0EC408A1" w14:textId="77777777" w:rsidR="00603F3F" w:rsidRPr="00CD7FBE" w:rsidRDefault="00603F3F" w:rsidP="00603F3F">
      <w:pPr>
        <w:pStyle w:val="Default"/>
        <w:widowControl w:val="0"/>
        <w:spacing w:line="276" w:lineRule="auto"/>
        <w:jc w:val="both"/>
        <w:rPr>
          <w:rFonts w:ascii="Times New Roman" w:hAnsi="Times New Roman" w:cs="Times New Roman"/>
          <w:color w:val="auto"/>
          <w:sz w:val="20"/>
          <w:szCs w:val="20"/>
          <w:lang w:eastAsia="en-US"/>
        </w:rPr>
      </w:pPr>
      <w:r w:rsidRPr="00CD7FBE">
        <w:rPr>
          <w:rFonts w:ascii="Times New Roman" w:hAnsi="Times New Roman" w:cs="Times New Roman"/>
          <w:color w:val="auto"/>
          <w:sz w:val="20"/>
          <w:szCs w:val="20"/>
          <w:lang w:eastAsia="en-US"/>
        </w:rPr>
        <w:t xml:space="preserve">L’art. 2-bis, co. 2, lett. b) del </w:t>
      </w:r>
      <w:r>
        <w:rPr>
          <w:rFonts w:ascii="Times New Roman" w:hAnsi="Times New Roman" w:cs="Times New Roman"/>
          <w:color w:val="auto"/>
          <w:sz w:val="20"/>
          <w:szCs w:val="20"/>
          <w:lang w:eastAsia="en-US"/>
        </w:rPr>
        <w:t>D. Lgs</w:t>
      </w:r>
      <w:r w:rsidRPr="00CD7FBE">
        <w:rPr>
          <w:rFonts w:ascii="Times New Roman" w:hAnsi="Times New Roman" w:cs="Times New Roman"/>
          <w:color w:val="auto"/>
          <w:sz w:val="20"/>
          <w:szCs w:val="20"/>
          <w:lang w:eastAsia="en-US"/>
        </w:rPr>
        <w:t>.</w:t>
      </w:r>
      <w:bookmarkStart w:id="789" w:name="_Toc473547432"/>
      <w:r w:rsidRPr="00CD7FBE">
        <w:rPr>
          <w:rFonts w:ascii="Times New Roman" w:hAnsi="Times New Roman" w:cs="Times New Roman"/>
          <w:color w:val="auto"/>
          <w:sz w:val="20"/>
          <w:szCs w:val="20"/>
          <w:lang w:eastAsia="en-US"/>
        </w:rPr>
        <w:t xml:space="preserve"> n. 33/2013</w:t>
      </w:r>
      <w:r w:rsidRPr="00CD7FBE">
        <w:rPr>
          <w:rStyle w:val="Rimandonotadichiusura"/>
          <w:rFonts w:ascii="Times New Roman" w:hAnsi="Times New Roman" w:cs="Times New Roman"/>
          <w:color w:val="auto"/>
          <w:sz w:val="20"/>
          <w:szCs w:val="20"/>
          <w:lang w:eastAsia="en-US"/>
        </w:rPr>
        <w:endnoteReference w:id="75"/>
      </w:r>
      <w:r w:rsidRPr="00CD7FBE">
        <w:rPr>
          <w:rFonts w:ascii="Times New Roman" w:hAnsi="Times New Roman" w:cs="Times New Roman"/>
          <w:color w:val="auto"/>
          <w:sz w:val="20"/>
          <w:szCs w:val="20"/>
          <w:lang w:eastAsia="en-US"/>
        </w:rPr>
        <w:t>, come modificato dal decreto legislativo 25 maggio 2016, n. 97, prevede che l’intera disciplina del decreto si applica anche alle società in controllo pubblico come definite dal decreto legislativo emanato in attuazione dell’articolo 18 della legge 7 agosto 2015, n. 124</w:t>
      </w:r>
      <w:r w:rsidRPr="00CD7FBE">
        <w:rPr>
          <w:rStyle w:val="Rimandonotadichiusura"/>
          <w:rFonts w:ascii="Times New Roman" w:hAnsi="Times New Roman" w:cs="Times New Roman"/>
          <w:color w:val="auto"/>
          <w:sz w:val="20"/>
          <w:szCs w:val="20"/>
          <w:lang w:eastAsia="en-US"/>
        </w:rPr>
        <w:endnoteReference w:id="76"/>
      </w:r>
      <w:r w:rsidRPr="00CD7FBE">
        <w:rPr>
          <w:rFonts w:ascii="Times New Roman" w:hAnsi="Times New Roman" w:cs="Times New Roman"/>
          <w:color w:val="auto"/>
          <w:sz w:val="20"/>
          <w:szCs w:val="20"/>
          <w:lang w:eastAsia="en-US"/>
        </w:rPr>
        <w:t xml:space="preserve">. </w:t>
      </w:r>
    </w:p>
    <w:p w14:paraId="73D3B50F" w14:textId="77777777" w:rsidR="00EB4FD8" w:rsidRPr="00CD7FBE" w:rsidRDefault="00EB4FD8" w:rsidP="00603F3F">
      <w:pPr>
        <w:pStyle w:val="Default"/>
        <w:widowControl w:val="0"/>
        <w:spacing w:line="276" w:lineRule="auto"/>
        <w:jc w:val="both"/>
        <w:rPr>
          <w:rFonts w:ascii="Times New Roman" w:hAnsi="Times New Roman" w:cs="Times New Roman"/>
          <w:color w:val="auto"/>
          <w:sz w:val="20"/>
          <w:szCs w:val="20"/>
          <w:lang w:eastAsia="en-US"/>
        </w:rPr>
      </w:pPr>
    </w:p>
    <w:p w14:paraId="38778740" w14:textId="77777777" w:rsidR="00603F3F" w:rsidRPr="00426734" w:rsidRDefault="00603F3F" w:rsidP="003E3269">
      <w:pPr>
        <w:pStyle w:val="Titolo2"/>
        <w:keepNext w:val="0"/>
        <w:numPr>
          <w:ilvl w:val="0"/>
          <w:numId w:val="35"/>
        </w:numPr>
        <w:spacing w:line="276" w:lineRule="auto"/>
        <w:ind w:left="284" w:hanging="284"/>
      </w:pPr>
      <w:bookmarkStart w:id="790" w:name="_Toc535854478"/>
      <w:r w:rsidRPr="004A2B41">
        <w:rPr>
          <w:color w:val="0070C0"/>
        </w:rPr>
        <w:t>I soggetti che concorrono all’attuazione delle norme</w:t>
      </w:r>
      <w:bookmarkEnd w:id="790"/>
      <w:r w:rsidRPr="004A2B41">
        <w:rPr>
          <w:color w:val="0070C0"/>
        </w:rPr>
        <w:t xml:space="preserve"> </w:t>
      </w:r>
    </w:p>
    <w:p w14:paraId="5C8C6336"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791" w:name="_Toc418505955"/>
      <w:bookmarkStart w:id="792" w:name="_Toc454796254"/>
      <w:bookmarkStart w:id="793" w:name="_Toc454796316"/>
      <w:bookmarkStart w:id="794" w:name="_Toc471996557"/>
      <w:bookmarkStart w:id="795" w:name="_Toc473547436"/>
      <w:bookmarkStart w:id="796" w:name="_Toc535854479"/>
      <w:bookmarkEnd w:id="789"/>
      <w:r w:rsidRPr="00FB1545">
        <w:t xml:space="preserve">Il </w:t>
      </w:r>
      <w:r>
        <w:t>RPCT</w:t>
      </w:r>
      <w:bookmarkEnd w:id="791"/>
      <w:bookmarkEnd w:id="792"/>
      <w:bookmarkEnd w:id="793"/>
      <w:bookmarkEnd w:id="794"/>
      <w:bookmarkEnd w:id="795"/>
      <w:bookmarkEnd w:id="796"/>
    </w:p>
    <w:p w14:paraId="10C6FAF7" w14:textId="77777777" w:rsidR="00603F3F" w:rsidRPr="00CD7FBE" w:rsidRDefault="00603F3F" w:rsidP="00603F3F">
      <w:pPr>
        <w:widowControl w:val="0"/>
        <w:spacing w:after="0"/>
        <w:rPr>
          <w:rFonts w:ascii="Times New Roman" w:hAnsi="Times New Roman"/>
          <w:bCs/>
          <w:spacing w:val="-4"/>
          <w:sz w:val="20"/>
          <w:szCs w:val="20"/>
        </w:rPr>
      </w:pPr>
      <w:r w:rsidRPr="00CD7FBE">
        <w:rPr>
          <w:rFonts w:ascii="Times New Roman" w:hAnsi="Times New Roman"/>
          <w:bCs/>
          <w:spacing w:val="-4"/>
          <w:sz w:val="20"/>
          <w:szCs w:val="20"/>
        </w:rPr>
        <w:t xml:space="preserve">Il </w:t>
      </w:r>
      <w:r>
        <w:rPr>
          <w:rFonts w:ascii="Times New Roman" w:hAnsi="Times New Roman"/>
          <w:bCs/>
          <w:spacing w:val="-4"/>
          <w:sz w:val="20"/>
          <w:szCs w:val="20"/>
        </w:rPr>
        <w:t>RPCT</w:t>
      </w:r>
      <w:r w:rsidRPr="00CD7FBE">
        <w:rPr>
          <w:rFonts w:ascii="Times New Roman" w:hAnsi="Times New Roman"/>
          <w:bCs/>
          <w:spacing w:val="-4"/>
          <w:sz w:val="20"/>
          <w:szCs w:val="20"/>
        </w:rPr>
        <w:t xml:space="preserve">, nel suo ruolo di Responsabile per la Trasparenza: </w:t>
      </w:r>
    </w:p>
    <w:p w14:paraId="3C96A23C" w14:textId="1A5B6FCF" w:rsidR="00603F3F" w:rsidRPr="0070096C" w:rsidRDefault="00603F3F" w:rsidP="00603F3F">
      <w:pPr>
        <w:widowControl w:val="0"/>
        <w:spacing w:after="0"/>
        <w:ind w:left="284" w:hanging="284"/>
        <w:jc w:val="both"/>
        <w:rPr>
          <w:rFonts w:ascii="Times New Roman" w:hAnsi="Times New Roman"/>
          <w:i/>
          <w:color w:val="000000"/>
          <w:sz w:val="20"/>
          <w:szCs w:val="20"/>
          <w:lang w:eastAsia="it-IT"/>
        </w:rPr>
      </w:pPr>
      <w:r w:rsidRPr="00CD7FBE">
        <w:rPr>
          <w:rFonts w:ascii="Times New Roman" w:hAnsi="Times New Roman"/>
          <w:spacing w:val="6"/>
          <w:sz w:val="20"/>
          <w:szCs w:val="20"/>
        </w:rPr>
        <w:t>-</w:t>
      </w:r>
      <w:r w:rsidRPr="00CD7FBE">
        <w:rPr>
          <w:rFonts w:ascii="Times New Roman" w:hAnsi="Times New Roman"/>
          <w:spacing w:val="6"/>
          <w:sz w:val="20"/>
          <w:szCs w:val="20"/>
        </w:rPr>
        <w:tab/>
      </w:r>
      <w:r w:rsidRPr="0070096C">
        <w:rPr>
          <w:rFonts w:ascii="Times New Roman" w:hAnsi="Times New Roman"/>
          <w:i/>
          <w:color w:val="000000"/>
          <w:sz w:val="20"/>
          <w:szCs w:val="20"/>
          <w:lang w:eastAsia="it-IT"/>
        </w:rPr>
        <w:t>svolge stabilmente un'attività di controllo sull'adempimento degli obblighi di pubblicazione previsti dalla normativa vigente, assicurando la completezza, la chiarezza e l'aggiornamento delle informazioni pubblicate, nonché segnalando all'</w:t>
      </w:r>
      <w:r w:rsidR="00816CA8" w:rsidRPr="0070096C">
        <w:rPr>
          <w:rFonts w:ascii="Times New Roman" w:hAnsi="Times New Roman"/>
          <w:i/>
          <w:color w:val="000000"/>
          <w:sz w:val="20"/>
          <w:szCs w:val="20"/>
          <w:lang w:eastAsia="it-IT"/>
        </w:rPr>
        <w:t>Amministratore Unico</w:t>
      </w:r>
      <w:r w:rsidRPr="0070096C">
        <w:rPr>
          <w:rFonts w:ascii="Times New Roman" w:hAnsi="Times New Roman"/>
          <w:i/>
          <w:color w:val="000000"/>
          <w:sz w:val="20"/>
          <w:szCs w:val="20"/>
          <w:lang w:eastAsia="it-IT"/>
        </w:rPr>
        <w:t>, all’OdV, all'Autorità Nazionale Anticorruzione e, nei casi più gravi, all'Ufficio Affari Legali i casi di mancato o ritardato adempimento degli obblighi di pubblicazione;</w:t>
      </w:r>
    </w:p>
    <w:p w14:paraId="79DA9CBA" w14:textId="7E9E3D46" w:rsidR="00603F3F" w:rsidRPr="0070096C" w:rsidRDefault="00603F3F" w:rsidP="00603F3F">
      <w:pPr>
        <w:widowControl w:val="0"/>
        <w:spacing w:after="0"/>
        <w:ind w:left="284" w:hanging="284"/>
        <w:jc w:val="both"/>
        <w:rPr>
          <w:rFonts w:ascii="Times New Roman" w:hAnsi="Times New Roman"/>
          <w:i/>
          <w:color w:val="000000"/>
          <w:sz w:val="20"/>
          <w:szCs w:val="20"/>
          <w:lang w:eastAsia="it-IT"/>
        </w:rPr>
      </w:pPr>
      <w:r w:rsidRPr="0070096C">
        <w:rPr>
          <w:rFonts w:ascii="Times New Roman" w:hAnsi="Times New Roman"/>
          <w:i/>
          <w:color w:val="000000"/>
          <w:sz w:val="20"/>
          <w:szCs w:val="20"/>
          <w:lang w:eastAsia="it-IT"/>
        </w:rPr>
        <w:t>-</w:t>
      </w:r>
      <w:r w:rsidRPr="0070096C">
        <w:rPr>
          <w:rFonts w:ascii="Times New Roman" w:hAnsi="Times New Roman"/>
          <w:i/>
          <w:color w:val="000000"/>
          <w:sz w:val="20"/>
          <w:szCs w:val="20"/>
          <w:lang w:eastAsia="it-IT"/>
        </w:rPr>
        <w:tab/>
        <w:t xml:space="preserve">segnala, in relazione alla loro gravità, i casi di inadempimento o di adempimento parziale degli obblighi in materia di pubblicazione previsti dalla normativa vigente </w:t>
      </w:r>
      <w:r w:rsidR="002A7570" w:rsidRPr="0070096C">
        <w:rPr>
          <w:rFonts w:ascii="Times New Roman" w:hAnsi="Times New Roman"/>
          <w:i/>
          <w:color w:val="000000"/>
          <w:sz w:val="20"/>
          <w:szCs w:val="20"/>
          <w:lang w:eastAsia="it-IT"/>
        </w:rPr>
        <w:t>al Settore Amministrativo</w:t>
      </w:r>
      <w:r w:rsidRPr="0070096C">
        <w:rPr>
          <w:rFonts w:ascii="Times New Roman" w:hAnsi="Times New Roman"/>
          <w:i/>
          <w:color w:val="000000"/>
          <w:sz w:val="20"/>
          <w:szCs w:val="20"/>
          <w:highlight w:val="cyan"/>
          <w:lang w:eastAsia="it-IT"/>
        </w:rPr>
        <w:t>,</w:t>
      </w:r>
      <w:r w:rsidRPr="0070096C">
        <w:rPr>
          <w:rFonts w:ascii="Times New Roman" w:hAnsi="Times New Roman"/>
          <w:i/>
          <w:color w:val="000000"/>
          <w:sz w:val="20"/>
          <w:szCs w:val="20"/>
          <w:lang w:eastAsia="it-IT"/>
        </w:rPr>
        <w:t xml:space="preserve"> per l'eventuale attivazione del procedimento disciplinare. </w:t>
      </w:r>
    </w:p>
    <w:p w14:paraId="52BB8FF8" w14:textId="35FE3B09" w:rsidR="00603F3F" w:rsidRPr="0070096C" w:rsidRDefault="00603F3F" w:rsidP="00603F3F">
      <w:pPr>
        <w:widowControl w:val="0"/>
        <w:spacing w:after="0"/>
        <w:ind w:left="284" w:hanging="284"/>
        <w:jc w:val="both"/>
        <w:rPr>
          <w:rFonts w:ascii="Times New Roman" w:hAnsi="Times New Roman"/>
          <w:i/>
          <w:color w:val="000000"/>
          <w:sz w:val="20"/>
          <w:szCs w:val="20"/>
          <w:lang w:eastAsia="it-IT"/>
        </w:rPr>
      </w:pPr>
      <w:r w:rsidRPr="0070096C">
        <w:rPr>
          <w:rFonts w:ascii="Times New Roman" w:hAnsi="Times New Roman"/>
          <w:i/>
          <w:color w:val="000000"/>
          <w:sz w:val="20"/>
          <w:szCs w:val="20"/>
          <w:lang w:eastAsia="it-IT"/>
        </w:rPr>
        <w:t>-</w:t>
      </w:r>
      <w:r w:rsidRPr="0070096C">
        <w:rPr>
          <w:rFonts w:ascii="Times New Roman" w:hAnsi="Times New Roman"/>
          <w:i/>
          <w:color w:val="000000"/>
          <w:sz w:val="20"/>
          <w:szCs w:val="20"/>
          <w:lang w:eastAsia="it-IT"/>
        </w:rPr>
        <w:tab/>
        <w:t xml:space="preserve">segnala gli inadempimenti </w:t>
      </w:r>
      <w:r w:rsidR="00816CA8" w:rsidRPr="0070096C">
        <w:rPr>
          <w:rFonts w:ascii="Times New Roman" w:hAnsi="Times New Roman"/>
          <w:i/>
          <w:color w:val="000000"/>
          <w:sz w:val="20"/>
          <w:szCs w:val="20"/>
          <w:lang w:eastAsia="it-IT"/>
        </w:rPr>
        <w:t>all'Amministratore Unico</w:t>
      </w:r>
      <w:r w:rsidRPr="0070096C">
        <w:rPr>
          <w:rFonts w:ascii="Times New Roman" w:hAnsi="Times New Roman"/>
          <w:i/>
          <w:color w:val="000000"/>
          <w:sz w:val="20"/>
          <w:szCs w:val="20"/>
          <w:lang w:eastAsia="it-IT"/>
        </w:rPr>
        <w:t>, all’OdV ai fini dell'attivazione delle altre forme di responsabilità nonché all'Autorità Nazionale Anticorruzione;</w:t>
      </w:r>
    </w:p>
    <w:p w14:paraId="008EF570" w14:textId="77777777" w:rsidR="00603F3F" w:rsidRPr="0070096C" w:rsidRDefault="00603F3F" w:rsidP="00603F3F">
      <w:pPr>
        <w:widowControl w:val="0"/>
        <w:spacing w:after="0"/>
        <w:ind w:left="284" w:hanging="284"/>
        <w:rPr>
          <w:rFonts w:ascii="Times New Roman" w:hAnsi="Times New Roman"/>
          <w:i/>
          <w:color w:val="000000"/>
          <w:sz w:val="20"/>
          <w:szCs w:val="20"/>
          <w:lang w:eastAsia="it-IT"/>
        </w:rPr>
      </w:pPr>
      <w:r w:rsidRPr="0070096C">
        <w:rPr>
          <w:rFonts w:ascii="Times New Roman" w:hAnsi="Times New Roman"/>
          <w:i/>
          <w:color w:val="000000"/>
          <w:sz w:val="20"/>
          <w:szCs w:val="20"/>
          <w:lang w:eastAsia="it-IT"/>
        </w:rPr>
        <w:t xml:space="preserve">- </w:t>
      </w:r>
      <w:r w:rsidRPr="0070096C">
        <w:rPr>
          <w:rFonts w:ascii="Times New Roman" w:hAnsi="Times New Roman"/>
          <w:i/>
          <w:color w:val="000000"/>
          <w:sz w:val="20"/>
          <w:szCs w:val="20"/>
          <w:lang w:eastAsia="it-IT"/>
        </w:rPr>
        <w:tab/>
        <w:t>controlla e assicura la regolare attuazione dell'accesso civico.</w:t>
      </w:r>
    </w:p>
    <w:p w14:paraId="076A8316"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p>
    <w:p w14:paraId="1C339BB7" w14:textId="77777777"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Per lo svolgimento dei compiti assegnati, il </w:t>
      </w:r>
      <w:r>
        <w:rPr>
          <w:rFonts w:ascii="Times New Roman" w:hAnsi="Times New Roman" w:cs="Times New Roman"/>
          <w:sz w:val="20"/>
          <w:szCs w:val="20"/>
        </w:rPr>
        <w:t>RPCT</w:t>
      </w:r>
      <w:r w:rsidRPr="00CD7FBE">
        <w:rPr>
          <w:rFonts w:ascii="Times New Roman" w:hAnsi="Times New Roman" w:cs="Times New Roman"/>
          <w:sz w:val="20"/>
          <w:szCs w:val="20"/>
        </w:rPr>
        <w:t xml:space="preserve"> ha completo accesso a tutti gli atti dell’organizzazione, dati e informazioni, funzionali all’attività di controllo che comunque sono di pertinenza del vertice gestionale. In tale ambito rientrano, peraltro, anche i controlli inerenti la sfera dei dati personali e/o sensibili, per i quali il </w:t>
      </w:r>
      <w:r>
        <w:rPr>
          <w:rFonts w:ascii="Times New Roman" w:hAnsi="Times New Roman" w:cs="Times New Roman"/>
          <w:sz w:val="20"/>
          <w:szCs w:val="20"/>
        </w:rPr>
        <w:t>RPCT</w:t>
      </w:r>
      <w:r w:rsidRPr="00CD7FBE">
        <w:rPr>
          <w:rFonts w:ascii="Times New Roman" w:hAnsi="Times New Roman" w:cs="Times New Roman"/>
          <w:sz w:val="20"/>
          <w:szCs w:val="20"/>
        </w:rPr>
        <w:t xml:space="preserve"> individua le migliori modalità per la salvaguardia della riservatezza. </w:t>
      </w:r>
    </w:p>
    <w:p w14:paraId="02E98DB8" w14:textId="77777777" w:rsidR="00603F3F" w:rsidRPr="00CD7FBE" w:rsidRDefault="00603F3F" w:rsidP="00603F3F">
      <w:pPr>
        <w:widowControl w:val="0"/>
        <w:spacing w:after="0"/>
        <w:jc w:val="both"/>
        <w:rPr>
          <w:rFonts w:ascii="Times New Roman" w:hAnsi="Times New Roman"/>
          <w:i/>
          <w:spacing w:val="1"/>
          <w:sz w:val="20"/>
          <w:szCs w:val="20"/>
        </w:rPr>
      </w:pPr>
    </w:p>
    <w:p w14:paraId="54EE7996" w14:textId="13DA242F" w:rsidR="00603F3F" w:rsidRPr="00FB1545" w:rsidRDefault="00603F3F" w:rsidP="003E3269">
      <w:pPr>
        <w:pStyle w:val="Titolo3"/>
        <w:keepNext w:val="0"/>
        <w:widowControl w:val="0"/>
        <w:numPr>
          <w:ilvl w:val="1"/>
          <w:numId w:val="31"/>
        </w:numPr>
        <w:spacing w:line="276" w:lineRule="auto"/>
        <w:ind w:left="567" w:hanging="567"/>
        <w:contextualSpacing w:val="0"/>
      </w:pPr>
      <w:bookmarkStart w:id="797" w:name="_Toc418505956"/>
      <w:bookmarkStart w:id="798" w:name="_Toc454796255"/>
      <w:bookmarkStart w:id="799" w:name="_Toc454796317"/>
      <w:bookmarkStart w:id="800" w:name="_Toc471996558"/>
      <w:bookmarkStart w:id="801" w:name="_Toc473547437"/>
      <w:bookmarkStart w:id="802" w:name="_Toc535854480"/>
      <w:r>
        <w:rPr>
          <w:lang w:val="it-IT"/>
        </w:rPr>
        <w:t>I</w:t>
      </w:r>
      <w:r w:rsidR="004A2B41">
        <w:rPr>
          <w:lang w:val="it-IT"/>
        </w:rPr>
        <w:t>l</w:t>
      </w:r>
      <w:r w:rsidR="004A2B41">
        <w:t xml:space="preserve"> Direttore</w:t>
      </w:r>
      <w:bookmarkEnd w:id="797"/>
      <w:r w:rsidR="004A2B41">
        <w:rPr>
          <w:lang w:val="it-IT"/>
        </w:rPr>
        <w:t xml:space="preserve"> </w:t>
      </w:r>
      <w:r w:rsidRPr="00FB1545">
        <w:t>ed</w:t>
      </w:r>
      <w:r>
        <w:rPr>
          <w:lang w:val="it-IT"/>
        </w:rPr>
        <w:t xml:space="preserve"> </w:t>
      </w:r>
      <w:r w:rsidRPr="00FB1545">
        <w:t>i Responsabili di Struttura</w:t>
      </w:r>
      <w:bookmarkEnd w:id="798"/>
      <w:bookmarkEnd w:id="799"/>
      <w:bookmarkEnd w:id="800"/>
      <w:bookmarkEnd w:id="801"/>
      <w:bookmarkEnd w:id="802"/>
    </w:p>
    <w:p w14:paraId="0FB313BA" w14:textId="31D62B81" w:rsidR="00603F3F" w:rsidRPr="00CD7FBE" w:rsidRDefault="00603F3F" w:rsidP="00603F3F">
      <w:pPr>
        <w:widowControl w:val="0"/>
        <w:spacing w:after="0"/>
        <w:jc w:val="both"/>
        <w:rPr>
          <w:rFonts w:ascii="Times New Roman" w:hAnsi="Times New Roman"/>
          <w:bCs/>
          <w:spacing w:val="-4"/>
          <w:sz w:val="20"/>
          <w:szCs w:val="20"/>
        </w:rPr>
      </w:pPr>
      <w:r>
        <w:rPr>
          <w:rFonts w:ascii="Times New Roman" w:hAnsi="Times New Roman"/>
          <w:color w:val="000000"/>
          <w:sz w:val="20"/>
          <w:szCs w:val="20"/>
          <w:lang w:eastAsia="it-IT"/>
        </w:rPr>
        <w:t>A</w:t>
      </w:r>
      <w:r w:rsidRPr="00CD7FBE">
        <w:rPr>
          <w:rFonts w:ascii="Times New Roman" w:hAnsi="Times New Roman"/>
          <w:sz w:val="20"/>
          <w:szCs w:val="20"/>
        </w:rPr>
        <w:t xml:space="preserve">i sensi dell’art. 43, comma 3 del </w:t>
      </w:r>
      <w:r>
        <w:rPr>
          <w:rFonts w:ascii="Times New Roman" w:hAnsi="Times New Roman"/>
          <w:sz w:val="20"/>
          <w:szCs w:val="20"/>
        </w:rPr>
        <w:t>D. Lgs</w:t>
      </w:r>
      <w:r w:rsidRPr="00CD7FBE">
        <w:rPr>
          <w:rFonts w:ascii="Times New Roman" w:hAnsi="Times New Roman"/>
          <w:sz w:val="20"/>
          <w:szCs w:val="20"/>
        </w:rPr>
        <w:t xml:space="preserve">. n. 33/2013, </w:t>
      </w:r>
      <w:r w:rsidRPr="00CD7FBE">
        <w:rPr>
          <w:rFonts w:ascii="Times New Roman" w:hAnsi="Times New Roman"/>
          <w:color w:val="000000"/>
          <w:sz w:val="20"/>
          <w:szCs w:val="20"/>
          <w:lang w:eastAsia="it-IT"/>
        </w:rPr>
        <w:t>i</w:t>
      </w:r>
      <w:r w:rsidR="00EF4C7B">
        <w:rPr>
          <w:rFonts w:ascii="Times New Roman" w:hAnsi="Times New Roman"/>
          <w:color w:val="000000"/>
          <w:sz w:val="20"/>
          <w:szCs w:val="20"/>
          <w:lang w:eastAsia="it-IT"/>
        </w:rPr>
        <w:t>l</w:t>
      </w:r>
      <w:r w:rsidR="00EF4C7B">
        <w:rPr>
          <w:rFonts w:ascii="Times New Roman" w:hAnsi="Times New Roman"/>
          <w:sz w:val="20"/>
          <w:szCs w:val="20"/>
        </w:rPr>
        <w:t xml:space="preserve"> Direttore</w:t>
      </w:r>
      <w:r w:rsidRPr="00CD7FBE">
        <w:rPr>
          <w:rFonts w:ascii="Times New Roman" w:hAnsi="Times New Roman"/>
          <w:sz w:val="20"/>
          <w:szCs w:val="20"/>
        </w:rPr>
        <w:t>/Responsabili sono chiamati a garantire il “</w:t>
      </w:r>
      <w:r w:rsidRPr="00CD7FBE">
        <w:rPr>
          <w:rFonts w:ascii="Times New Roman" w:hAnsi="Times New Roman"/>
          <w:i/>
          <w:sz w:val="20"/>
          <w:szCs w:val="20"/>
        </w:rPr>
        <w:t>tempestivo e regolare flusso delle informazioni da pubblicare ai fini del rispetto dei termini stabiliti dalla legge</w:t>
      </w:r>
      <w:r w:rsidRPr="00CD7FBE">
        <w:rPr>
          <w:rFonts w:ascii="Times New Roman" w:hAnsi="Times New Roman"/>
          <w:sz w:val="20"/>
          <w:szCs w:val="20"/>
        </w:rPr>
        <w:t>”.</w:t>
      </w:r>
      <w:r>
        <w:rPr>
          <w:rFonts w:ascii="Times New Roman" w:hAnsi="Times New Roman"/>
          <w:sz w:val="20"/>
          <w:szCs w:val="20"/>
        </w:rPr>
        <w:t xml:space="preserve"> </w:t>
      </w:r>
      <w:r w:rsidRPr="00CD7FBE">
        <w:rPr>
          <w:rFonts w:ascii="Times New Roman" w:hAnsi="Times New Roman"/>
          <w:sz w:val="20"/>
          <w:szCs w:val="20"/>
        </w:rPr>
        <w:t>L’art. 9, comma 1, del D.P.R. n. 62/2013 integrato con l’art. 10 del Codice di comportamento adottato da</w:t>
      </w:r>
      <w:r>
        <w:rPr>
          <w:rFonts w:ascii="Times New Roman" w:hAnsi="Times New Roman"/>
          <w:sz w:val="20"/>
          <w:szCs w:val="20"/>
        </w:rPr>
        <w:t xml:space="preserve">lla società </w:t>
      </w:r>
      <w:r w:rsidRPr="00CD7FBE">
        <w:rPr>
          <w:rFonts w:ascii="Times New Roman" w:hAnsi="Times New Roman"/>
          <w:sz w:val="20"/>
          <w:szCs w:val="20"/>
        </w:rPr>
        <w:t xml:space="preserve">afferma che: </w:t>
      </w:r>
      <w:r>
        <w:rPr>
          <w:rFonts w:ascii="Times New Roman" w:hAnsi="Times New Roman"/>
          <w:sz w:val="20"/>
          <w:szCs w:val="20"/>
        </w:rPr>
        <w:t>“</w:t>
      </w:r>
      <w:r w:rsidRPr="00AF59F2">
        <w:rPr>
          <w:rFonts w:ascii="Times New Roman" w:hAnsi="Times New Roman"/>
          <w:i/>
          <w:sz w:val="20"/>
          <w:szCs w:val="20"/>
        </w:rPr>
        <w:t>i</w:t>
      </w:r>
      <w:r w:rsidR="00271047">
        <w:rPr>
          <w:rFonts w:ascii="Times New Roman" w:hAnsi="Times New Roman"/>
          <w:i/>
          <w:sz w:val="20"/>
          <w:szCs w:val="20"/>
        </w:rPr>
        <w:t>l Direttore e i Responsabili Settore</w:t>
      </w:r>
      <w:r w:rsidRPr="00AF59F2">
        <w:rPr>
          <w:rFonts w:ascii="Times New Roman" w:hAnsi="Times New Roman"/>
          <w:i/>
          <w:sz w:val="20"/>
          <w:szCs w:val="20"/>
        </w:rPr>
        <w:t>/</w:t>
      </w:r>
      <w:r>
        <w:rPr>
          <w:rFonts w:ascii="Times New Roman" w:hAnsi="Times New Roman"/>
          <w:i/>
          <w:sz w:val="20"/>
          <w:szCs w:val="20"/>
        </w:rPr>
        <w:t xml:space="preserve">Ufficio </w:t>
      </w:r>
      <w:r w:rsidRPr="00AF59F2">
        <w:rPr>
          <w:rFonts w:ascii="Times New Roman" w:hAnsi="Times New Roman"/>
          <w:i/>
          <w:sz w:val="20"/>
          <w:szCs w:val="20"/>
        </w:rPr>
        <w:t>sono i diretti referenti del Responsabile della trasparenza per tutti gli adempimenti e gli obblighi in materia; con quest’ultimo collaborano fattivamente, attenendosi alle metodologie e determinazioni organizzative ed operative da questi decis</w:t>
      </w:r>
      <w:r w:rsidRPr="00AF59F2">
        <w:rPr>
          <w:rFonts w:ascii="Times New Roman" w:hAnsi="Times New Roman"/>
          <w:sz w:val="20"/>
          <w:szCs w:val="20"/>
        </w:rPr>
        <w:t xml:space="preserve">e”. </w:t>
      </w:r>
      <w:r>
        <w:rPr>
          <w:rFonts w:ascii="Times New Roman" w:hAnsi="Times New Roman"/>
          <w:bCs/>
          <w:spacing w:val="-4"/>
          <w:sz w:val="20"/>
          <w:szCs w:val="20"/>
        </w:rPr>
        <w:t>I</w:t>
      </w:r>
      <w:r w:rsidR="004A2B41">
        <w:rPr>
          <w:rFonts w:ascii="Times New Roman" w:hAnsi="Times New Roman"/>
          <w:bCs/>
          <w:spacing w:val="-4"/>
          <w:sz w:val="20"/>
          <w:szCs w:val="20"/>
        </w:rPr>
        <w:t xml:space="preserve"> compiti e le responsabilità del Direttore ed i </w:t>
      </w:r>
      <w:r w:rsidRPr="00CD7FBE">
        <w:rPr>
          <w:rFonts w:ascii="Times New Roman" w:hAnsi="Times New Roman"/>
          <w:bCs/>
          <w:spacing w:val="-4"/>
          <w:sz w:val="20"/>
          <w:szCs w:val="20"/>
        </w:rPr>
        <w:t xml:space="preserve">Responsabili </w:t>
      </w:r>
      <w:r w:rsidR="00B13FFD">
        <w:rPr>
          <w:rFonts w:ascii="Times New Roman" w:hAnsi="Times New Roman"/>
          <w:bCs/>
          <w:spacing w:val="-4"/>
          <w:sz w:val="20"/>
          <w:szCs w:val="20"/>
        </w:rPr>
        <w:t>di Settore</w:t>
      </w:r>
      <w:r w:rsidRPr="00CD7FBE">
        <w:rPr>
          <w:rFonts w:ascii="Times New Roman" w:hAnsi="Times New Roman"/>
          <w:bCs/>
          <w:spacing w:val="-4"/>
          <w:sz w:val="20"/>
          <w:szCs w:val="20"/>
        </w:rPr>
        <w:t>/</w:t>
      </w:r>
      <w:r>
        <w:rPr>
          <w:rFonts w:ascii="Times New Roman" w:hAnsi="Times New Roman"/>
          <w:bCs/>
          <w:spacing w:val="-4"/>
          <w:sz w:val="20"/>
          <w:szCs w:val="20"/>
        </w:rPr>
        <w:t xml:space="preserve">Ufficio </w:t>
      </w:r>
      <w:r w:rsidRPr="00CD7FBE">
        <w:rPr>
          <w:rFonts w:ascii="Times New Roman" w:hAnsi="Times New Roman"/>
          <w:bCs/>
          <w:spacing w:val="-4"/>
          <w:sz w:val="20"/>
          <w:szCs w:val="20"/>
        </w:rPr>
        <w:t xml:space="preserve">sono di seguito evidenziati: </w:t>
      </w:r>
    </w:p>
    <w:p w14:paraId="64088608" w14:textId="77777777" w:rsidR="00603F3F" w:rsidRPr="0057039B" w:rsidRDefault="00603F3F" w:rsidP="00603F3F">
      <w:pPr>
        <w:widowControl w:val="0"/>
        <w:spacing w:after="0"/>
        <w:ind w:left="284" w:hanging="284"/>
        <w:jc w:val="both"/>
        <w:rPr>
          <w:rFonts w:ascii="Times New Roman" w:hAnsi="Times New Roman"/>
          <w:spacing w:val="2"/>
          <w:sz w:val="20"/>
          <w:szCs w:val="20"/>
        </w:rPr>
      </w:pPr>
      <w:r w:rsidRPr="00CD7FBE">
        <w:rPr>
          <w:rFonts w:ascii="Times New Roman" w:hAnsi="Times New Roman"/>
          <w:spacing w:val="2"/>
          <w:sz w:val="20"/>
          <w:szCs w:val="20"/>
        </w:rPr>
        <w:t>-</w:t>
      </w:r>
      <w:r w:rsidRPr="00CD7FBE">
        <w:rPr>
          <w:rFonts w:ascii="Times New Roman" w:hAnsi="Times New Roman"/>
          <w:spacing w:val="2"/>
          <w:sz w:val="20"/>
          <w:szCs w:val="20"/>
        </w:rPr>
        <w:tab/>
      </w:r>
      <w:r w:rsidRPr="0070096C">
        <w:rPr>
          <w:rFonts w:ascii="Times New Roman" w:hAnsi="Times New Roman"/>
          <w:i/>
          <w:spacing w:val="2"/>
          <w:sz w:val="20"/>
          <w:szCs w:val="20"/>
        </w:rPr>
        <w:t xml:space="preserve">adempiono agli obblighi di pubblicazione, di cui </w:t>
      </w:r>
      <w:r w:rsidRPr="0057039B">
        <w:rPr>
          <w:rFonts w:ascii="Times New Roman" w:hAnsi="Times New Roman"/>
          <w:spacing w:val="2"/>
          <w:sz w:val="20"/>
          <w:szCs w:val="20"/>
        </w:rPr>
        <w:t xml:space="preserve">all’allegato </w:t>
      </w:r>
      <w:r w:rsidRPr="0057039B">
        <w:rPr>
          <w:rFonts w:ascii="Times New Roman" w:hAnsi="Times New Roman"/>
          <w:b/>
          <w:spacing w:val="2"/>
          <w:sz w:val="20"/>
          <w:szCs w:val="20"/>
        </w:rPr>
        <w:t>4d del PTPCT</w:t>
      </w:r>
      <w:r w:rsidRPr="0057039B">
        <w:rPr>
          <w:rFonts w:ascii="Times New Roman" w:hAnsi="Times New Roman"/>
          <w:spacing w:val="2"/>
          <w:sz w:val="20"/>
          <w:szCs w:val="20"/>
        </w:rPr>
        <w:t xml:space="preserve">; </w:t>
      </w:r>
    </w:p>
    <w:p w14:paraId="360ADB57" w14:textId="77777777" w:rsidR="00603F3F" w:rsidRPr="0070096C" w:rsidRDefault="00603F3F" w:rsidP="00603F3F">
      <w:pPr>
        <w:widowControl w:val="0"/>
        <w:spacing w:after="0"/>
        <w:ind w:left="284" w:hanging="284"/>
        <w:jc w:val="both"/>
        <w:rPr>
          <w:rFonts w:ascii="Times New Roman" w:hAnsi="Times New Roman"/>
          <w:i/>
          <w:spacing w:val="2"/>
          <w:sz w:val="20"/>
          <w:szCs w:val="20"/>
        </w:rPr>
      </w:pPr>
      <w:r w:rsidRPr="0070096C">
        <w:rPr>
          <w:rFonts w:ascii="Times New Roman" w:hAnsi="Times New Roman"/>
          <w:i/>
          <w:spacing w:val="2"/>
          <w:sz w:val="20"/>
          <w:szCs w:val="20"/>
        </w:rPr>
        <w:t>-</w:t>
      </w:r>
      <w:r w:rsidRPr="0070096C">
        <w:rPr>
          <w:rFonts w:ascii="Times New Roman" w:hAnsi="Times New Roman"/>
          <w:i/>
          <w:spacing w:val="2"/>
          <w:sz w:val="20"/>
          <w:szCs w:val="20"/>
        </w:rPr>
        <w:tab/>
        <w:t>garantiscono il tempestivo e regolare flusso delle informazioni da pubblicare ai fini del rispetto dei termini stabiliti dalla legge;</w:t>
      </w:r>
    </w:p>
    <w:p w14:paraId="598D6ACD" w14:textId="0A54F912"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i/>
          <w:spacing w:val="-3"/>
          <w:sz w:val="20"/>
          <w:szCs w:val="20"/>
        </w:rPr>
        <w:t>-</w:t>
      </w:r>
      <w:r w:rsidRPr="0070096C">
        <w:rPr>
          <w:rFonts w:ascii="Times New Roman" w:hAnsi="Times New Roman"/>
          <w:i/>
          <w:spacing w:val="-3"/>
          <w:sz w:val="20"/>
          <w:szCs w:val="20"/>
        </w:rPr>
        <w:tab/>
        <w:t xml:space="preserve">garantiscono l'integrità, il costante aggiornamento, la completezza, la tempestività, la semplicità di consultazione, la comprensibilità, </w:t>
      </w:r>
      <w:r w:rsidRPr="0070096C">
        <w:rPr>
          <w:rFonts w:ascii="Times New Roman" w:hAnsi="Times New Roman"/>
          <w:i/>
          <w:spacing w:val="1"/>
          <w:sz w:val="20"/>
          <w:szCs w:val="20"/>
        </w:rPr>
        <w:t xml:space="preserve">l'omogeneità, la facile accessibilità, nonché la conformità ai documenti originali in possesso dalla società, l'indicazione della </w:t>
      </w:r>
      <w:r w:rsidRPr="0070096C">
        <w:rPr>
          <w:rFonts w:ascii="Times New Roman" w:hAnsi="Times New Roman"/>
          <w:i/>
          <w:spacing w:val="3"/>
          <w:sz w:val="20"/>
          <w:szCs w:val="20"/>
        </w:rPr>
        <w:t xml:space="preserve">loro provenienza e la riutilizzabilità delle informazioni pubblicate. L’eventuale pubblicazione di atti non conformi agli originali </w:t>
      </w:r>
      <w:r w:rsidRPr="0070096C">
        <w:rPr>
          <w:rFonts w:ascii="Times New Roman" w:hAnsi="Times New Roman"/>
          <w:i/>
          <w:sz w:val="20"/>
          <w:szCs w:val="20"/>
        </w:rPr>
        <w:t>comporta responsabilità dirigenziale;</w:t>
      </w:r>
    </w:p>
    <w:p w14:paraId="21471E48" w14:textId="77777777" w:rsidR="00603F3F" w:rsidRPr="0070096C" w:rsidRDefault="00603F3F" w:rsidP="00603F3F">
      <w:pPr>
        <w:widowControl w:val="0"/>
        <w:spacing w:after="0"/>
        <w:ind w:left="284" w:hanging="284"/>
        <w:jc w:val="both"/>
        <w:rPr>
          <w:rFonts w:ascii="Times New Roman" w:hAnsi="Times New Roman"/>
          <w:i/>
          <w:spacing w:val="2"/>
          <w:sz w:val="20"/>
          <w:szCs w:val="20"/>
        </w:rPr>
      </w:pPr>
      <w:r w:rsidRPr="0070096C">
        <w:rPr>
          <w:rFonts w:ascii="Times New Roman" w:hAnsi="Times New Roman"/>
          <w:i/>
          <w:sz w:val="20"/>
          <w:szCs w:val="20"/>
        </w:rPr>
        <w:t>-</w:t>
      </w:r>
      <w:r w:rsidRPr="0070096C">
        <w:rPr>
          <w:rFonts w:ascii="Times New Roman" w:hAnsi="Times New Roman"/>
          <w:i/>
          <w:sz w:val="20"/>
          <w:szCs w:val="20"/>
        </w:rPr>
        <w:tab/>
        <w:t>controllano e assicurano la regolare attuazione dell’accesso civico.</w:t>
      </w:r>
    </w:p>
    <w:p w14:paraId="40616189" w14:textId="77777777" w:rsidR="00603F3F" w:rsidRPr="00CD7FBE" w:rsidRDefault="00603F3F" w:rsidP="00603F3F">
      <w:pPr>
        <w:widowControl w:val="0"/>
        <w:spacing w:after="0"/>
        <w:jc w:val="both"/>
        <w:rPr>
          <w:rFonts w:ascii="Times New Roman" w:hAnsi="Times New Roman"/>
          <w:i/>
          <w:spacing w:val="1"/>
          <w:sz w:val="20"/>
          <w:szCs w:val="20"/>
        </w:rPr>
      </w:pPr>
      <w:bookmarkStart w:id="803" w:name="_Toc418505957"/>
    </w:p>
    <w:p w14:paraId="72E79324" w14:textId="77777777" w:rsidR="00603F3F" w:rsidRPr="00FB1545" w:rsidRDefault="00603F3F" w:rsidP="003E3269">
      <w:pPr>
        <w:pStyle w:val="Titolo3"/>
        <w:keepNext w:val="0"/>
        <w:widowControl w:val="0"/>
        <w:numPr>
          <w:ilvl w:val="1"/>
          <w:numId w:val="31"/>
        </w:numPr>
        <w:spacing w:line="276" w:lineRule="auto"/>
        <w:ind w:left="567" w:hanging="567"/>
        <w:contextualSpacing w:val="0"/>
        <w:jc w:val="both"/>
      </w:pPr>
      <w:bookmarkStart w:id="804" w:name="_Toc473547438"/>
      <w:bookmarkStart w:id="805" w:name="_Toc535854481"/>
      <w:bookmarkStart w:id="806" w:name="_Toc454796256"/>
      <w:bookmarkStart w:id="807" w:name="_Toc454796318"/>
      <w:bookmarkStart w:id="808" w:name="_Toc471996559"/>
      <w:r>
        <w:rPr>
          <w:lang w:val="it-IT"/>
        </w:rPr>
        <w:t>I</w:t>
      </w:r>
      <w:r w:rsidRPr="00FB1545">
        <w:t xml:space="preserve"> Responsabili della trasmissione dei dati ed</w:t>
      </w:r>
      <w:r>
        <w:rPr>
          <w:lang w:val="it-IT"/>
        </w:rPr>
        <w:t xml:space="preserve"> </w:t>
      </w:r>
      <w:r w:rsidRPr="00FB1545">
        <w:t>i Responsabili della pubblicazione e dell’aggiornamento dei documenti, delle informazioni e dei dati.</w:t>
      </w:r>
      <w:bookmarkEnd w:id="804"/>
      <w:bookmarkEnd w:id="805"/>
    </w:p>
    <w:p w14:paraId="43964538" w14:textId="3056BE99" w:rsidR="00603F3F" w:rsidRPr="00CD7FBE" w:rsidRDefault="00603F3F" w:rsidP="00603F3F">
      <w:pPr>
        <w:widowControl w:val="0"/>
        <w:autoSpaceDE w:val="0"/>
        <w:autoSpaceDN w:val="0"/>
        <w:adjustRightInd w:val="0"/>
        <w:spacing w:after="0"/>
        <w:jc w:val="both"/>
        <w:rPr>
          <w:rFonts w:ascii="Times New Roman" w:hAnsi="Times New Roman"/>
          <w:color w:val="000000"/>
          <w:sz w:val="20"/>
          <w:szCs w:val="20"/>
          <w:lang w:eastAsia="it-IT"/>
        </w:rPr>
      </w:pPr>
      <w:r w:rsidRPr="00CD7FBE">
        <w:rPr>
          <w:rFonts w:ascii="Times New Roman" w:hAnsi="Times New Roman"/>
          <w:color w:val="000000"/>
          <w:sz w:val="20"/>
          <w:szCs w:val="20"/>
          <w:lang w:eastAsia="it-IT"/>
        </w:rPr>
        <w:t xml:space="preserve">In conformità alle disposizioni di cui alla Delibera ANAC n. 1310/2016, la </w:t>
      </w:r>
      <w:r>
        <w:rPr>
          <w:rFonts w:ascii="Times New Roman" w:hAnsi="Times New Roman"/>
          <w:color w:val="000000"/>
          <w:sz w:val="20"/>
          <w:szCs w:val="20"/>
          <w:lang w:eastAsia="it-IT"/>
        </w:rPr>
        <w:t>società</w:t>
      </w:r>
      <w:r w:rsidRPr="00CD7FBE">
        <w:rPr>
          <w:rFonts w:ascii="Times New Roman" w:hAnsi="Times New Roman"/>
          <w:color w:val="000000"/>
          <w:sz w:val="20"/>
          <w:szCs w:val="20"/>
          <w:lang w:eastAsia="it-IT"/>
        </w:rPr>
        <w:t xml:space="preserve"> ha provveduto ad individuare i nominativi dei soggetti e degli uffici responsabili della trasmissione dei dati (intesi quali uffici tenuti alla individuazione e/o alla elaborazione dei dati) e di quelli dei responsabili della pubblicazione dei documenti, delle informazioni e dei dati ai sensi del comma 1 dell’articolo 10 del </w:t>
      </w:r>
      <w:r w:rsidR="001E7CB7">
        <w:rPr>
          <w:rFonts w:ascii="Times New Roman" w:hAnsi="Times New Roman"/>
          <w:color w:val="000000"/>
          <w:sz w:val="20"/>
          <w:szCs w:val="20"/>
          <w:lang w:eastAsia="it-IT"/>
        </w:rPr>
        <w:t>D.</w:t>
      </w:r>
      <w:r>
        <w:rPr>
          <w:rFonts w:ascii="Times New Roman" w:hAnsi="Times New Roman"/>
          <w:color w:val="000000"/>
          <w:sz w:val="20"/>
          <w:szCs w:val="20"/>
          <w:lang w:eastAsia="it-IT"/>
        </w:rPr>
        <w:t>Lgs</w:t>
      </w:r>
      <w:r w:rsidRPr="00CD7FBE">
        <w:rPr>
          <w:rFonts w:ascii="Times New Roman" w:hAnsi="Times New Roman"/>
          <w:color w:val="000000"/>
          <w:sz w:val="20"/>
          <w:szCs w:val="20"/>
          <w:lang w:eastAsia="it-IT"/>
        </w:rPr>
        <w:t>. 33/2013. In luogo del nominativo è stato, in alcuni casi, indicato il responsabile della posizione ricoperta chiaramente individuato, nell’organigramma aziendale.</w:t>
      </w:r>
      <w:r>
        <w:rPr>
          <w:rFonts w:ascii="Times New Roman" w:hAnsi="Times New Roman"/>
          <w:color w:val="000000"/>
          <w:sz w:val="20"/>
          <w:szCs w:val="20"/>
          <w:lang w:eastAsia="it-IT"/>
        </w:rPr>
        <w:t xml:space="preserve"> </w:t>
      </w:r>
      <w:r w:rsidRPr="00CD7FBE">
        <w:rPr>
          <w:rFonts w:ascii="Times New Roman" w:hAnsi="Times New Roman"/>
          <w:color w:val="000000"/>
          <w:sz w:val="20"/>
          <w:szCs w:val="20"/>
          <w:lang w:eastAsia="it-IT"/>
        </w:rPr>
        <w:t xml:space="preserve">Detti nominativi sono </w:t>
      </w:r>
      <w:r w:rsidRPr="0057039B">
        <w:rPr>
          <w:rFonts w:ascii="Times New Roman" w:hAnsi="Times New Roman"/>
          <w:color w:val="000000"/>
          <w:sz w:val="20"/>
          <w:szCs w:val="20"/>
          <w:lang w:eastAsia="it-IT"/>
        </w:rPr>
        <w:t xml:space="preserve">stati inseriti </w:t>
      </w:r>
      <w:r w:rsidRPr="0057039B">
        <w:rPr>
          <w:rFonts w:ascii="Times New Roman" w:hAnsi="Times New Roman"/>
          <w:b/>
          <w:color w:val="000000"/>
          <w:sz w:val="20"/>
          <w:szCs w:val="20"/>
          <w:lang w:eastAsia="it-IT"/>
        </w:rPr>
        <w:t>nell’allegato 4d</w:t>
      </w:r>
      <w:r w:rsidRPr="0057039B">
        <w:rPr>
          <w:rFonts w:ascii="Times New Roman" w:hAnsi="Times New Roman"/>
          <w:color w:val="000000"/>
          <w:sz w:val="20"/>
          <w:szCs w:val="20"/>
          <w:lang w:eastAsia="it-IT"/>
        </w:rPr>
        <w:t xml:space="preserve"> che </w:t>
      </w:r>
      <w:r w:rsidRPr="0057039B">
        <w:rPr>
          <w:rFonts w:ascii="Times New Roman" w:hAnsi="Times New Roman"/>
          <w:sz w:val="20"/>
          <w:szCs w:val="20"/>
        </w:rPr>
        <w:t>individua</w:t>
      </w:r>
      <w:r w:rsidRPr="00CD7FBE">
        <w:rPr>
          <w:rFonts w:ascii="Times New Roman" w:hAnsi="Times New Roman"/>
          <w:sz w:val="20"/>
          <w:szCs w:val="20"/>
        </w:rPr>
        <w:t xml:space="preserve"> gli obblighi di pubblicazione ex </w:t>
      </w:r>
      <w:r w:rsidR="0070096C">
        <w:rPr>
          <w:rFonts w:ascii="Times New Roman" w:hAnsi="Times New Roman"/>
          <w:sz w:val="20"/>
          <w:szCs w:val="20"/>
        </w:rPr>
        <w:t>D.</w:t>
      </w:r>
      <w:r>
        <w:rPr>
          <w:rFonts w:ascii="Times New Roman" w:hAnsi="Times New Roman"/>
          <w:sz w:val="20"/>
          <w:szCs w:val="20"/>
        </w:rPr>
        <w:t>Lgs</w:t>
      </w:r>
      <w:r w:rsidRPr="00CD7FBE">
        <w:rPr>
          <w:rFonts w:ascii="Times New Roman" w:hAnsi="Times New Roman"/>
          <w:sz w:val="20"/>
          <w:szCs w:val="20"/>
        </w:rPr>
        <w:t>. n. 33/2013 e ss.mm.e ii.</w:t>
      </w:r>
      <w:r w:rsidRPr="007926BF" w:rsidDel="007926BF">
        <w:rPr>
          <w:rFonts w:ascii="Times New Roman" w:hAnsi="Times New Roman"/>
          <w:bCs/>
          <w:spacing w:val="-4"/>
          <w:sz w:val="20"/>
          <w:szCs w:val="20"/>
        </w:rPr>
        <w:t xml:space="preserve"> </w:t>
      </w:r>
      <w:r>
        <w:rPr>
          <w:rFonts w:ascii="Times New Roman" w:hAnsi="Times New Roman"/>
          <w:bCs/>
          <w:spacing w:val="-4"/>
          <w:sz w:val="20"/>
          <w:szCs w:val="20"/>
        </w:rPr>
        <w:t>L’</w:t>
      </w:r>
      <w:r w:rsidRPr="00CD7FBE">
        <w:rPr>
          <w:rFonts w:ascii="Times New Roman" w:hAnsi="Times New Roman"/>
          <w:bCs/>
          <w:spacing w:val="-4"/>
          <w:sz w:val="20"/>
          <w:szCs w:val="20"/>
        </w:rPr>
        <w:t>allegato sarà aggiornato, qualora necessario, all’esito di ogni monitoraggio in base alle pubblicazioni da effettuare.</w:t>
      </w:r>
      <w:r>
        <w:rPr>
          <w:rFonts w:ascii="Times New Roman" w:hAnsi="Times New Roman"/>
          <w:bCs/>
          <w:spacing w:val="-4"/>
          <w:sz w:val="20"/>
          <w:szCs w:val="20"/>
        </w:rPr>
        <w:t xml:space="preserve"> </w:t>
      </w:r>
      <w:r w:rsidRPr="00CD7FBE">
        <w:rPr>
          <w:rFonts w:ascii="Times New Roman" w:hAnsi="Times New Roman"/>
          <w:color w:val="000000"/>
          <w:sz w:val="20"/>
          <w:szCs w:val="20"/>
          <w:lang w:eastAsia="it-IT"/>
        </w:rPr>
        <w:t>Quanto sopra</w:t>
      </w:r>
      <w:r>
        <w:rPr>
          <w:rFonts w:ascii="Times New Roman" w:hAnsi="Times New Roman"/>
          <w:color w:val="000000"/>
          <w:sz w:val="20"/>
          <w:szCs w:val="20"/>
          <w:lang w:eastAsia="it-IT"/>
        </w:rPr>
        <w:t xml:space="preserve"> anche</w:t>
      </w:r>
      <w:r w:rsidRPr="00CD7FBE">
        <w:rPr>
          <w:rFonts w:ascii="Times New Roman" w:hAnsi="Times New Roman"/>
          <w:color w:val="000000"/>
          <w:sz w:val="20"/>
          <w:szCs w:val="20"/>
          <w:lang w:eastAsia="it-IT"/>
        </w:rPr>
        <w:t xml:space="preserve"> al fine di responsabilizzare tutte le strutture aziendali alla pubblicazione dei dati e delle informazioni.</w:t>
      </w:r>
    </w:p>
    <w:p w14:paraId="76EA3DF2" w14:textId="77777777" w:rsidR="00603F3F" w:rsidRDefault="00603F3F" w:rsidP="00603F3F">
      <w:pPr>
        <w:widowControl w:val="0"/>
        <w:spacing w:after="0"/>
        <w:jc w:val="both"/>
        <w:rPr>
          <w:rFonts w:ascii="Times New Roman" w:hAnsi="Times New Roman"/>
          <w:color w:val="000000"/>
          <w:sz w:val="20"/>
          <w:szCs w:val="20"/>
          <w:lang w:eastAsia="it-IT"/>
        </w:rPr>
      </w:pPr>
    </w:p>
    <w:p w14:paraId="13576D7E" w14:textId="77777777" w:rsidR="00603F3F" w:rsidRPr="00FB1545" w:rsidRDefault="00603F3F" w:rsidP="003E3269">
      <w:pPr>
        <w:pStyle w:val="Titolo3"/>
        <w:keepNext w:val="0"/>
        <w:widowControl w:val="0"/>
        <w:numPr>
          <w:ilvl w:val="1"/>
          <w:numId w:val="31"/>
        </w:numPr>
        <w:spacing w:line="276" w:lineRule="auto"/>
        <w:ind w:left="567" w:hanging="567"/>
        <w:contextualSpacing w:val="0"/>
        <w:jc w:val="both"/>
      </w:pPr>
      <w:bookmarkStart w:id="809" w:name="_Toc499883554"/>
      <w:bookmarkStart w:id="810" w:name="_Toc499883770"/>
      <w:bookmarkStart w:id="811" w:name="_Toc499883961"/>
      <w:bookmarkStart w:id="812" w:name="_Toc499884151"/>
      <w:bookmarkStart w:id="813" w:name="_Toc500232398"/>
      <w:bookmarkStart w:id="814" w:name="_Toc499883555"/>
      <w:bookmarkStart w:id="815" w:name="_Toc499883771"/>
      <w:bookmarkStart w:id="816" w:name="_Toc499883962"/>
      <w:bookmarkStart w:id="817" w:name="_Toc499884152"/>
      <w:bookmarkStart w:id="818" w:name="_Toc500232399"/>
      <w:bookmarkStart w:id="819" w:name="_Toc499883556"/>
      <w:bookmarkStart w:id="820" w:name="_Toc499883772"/>
      <w:bookmarkStart w:id="821" w:name="_Toc499883963"/>
      <w:bookmarkStart w:id="822" w:name="_Toc499884153"/>
      <w:bookmarkStart w:id="823" w:name="_Toc500232400"/>
      <w:bookmarkStart w:id="824" w:name="_Toc499883557"/>
      <w:bookmarkStart w:id="825" w:name="_Toc499883773"/>
      <w:bookmarkStart w:id="826" w:name="_Toc499883964"/>
      <w:bookmarkStart w:id="827" w:name="_Toc499884154"/>
      <w:bookmarkStart w:id="828" w:name="_Toc500232401"/>
      <w:bookmarkStart w:id="829" w:name="_Toc499883558"/>
      <w:bookmarkStart w:id="830" w:name="_Toc499883774"/>
      <w:bookmarkStart w:id="831" w:name="_Toc499883965"/>
      <w:bookmarkStart w:id="832" w:name="_Toc499884155"/>
      <w:bookmarkStart w:id="833" w:name="_Toc500232402"/>
      <w:bookmarkStart w:id="834" w:name="_Toc499883559"/>
      <w:bookmarkStart w:id="835" w:name="_Toc499883775"/>
      <w:bookmarkStart w:id="836" w:name="_Toc499883966"/>
      <w:bookmarkStart w:id="837" w:name="_Toc499884156"/>
      <w:bookmarkStart w:id="838" w:name="_Toc500232403"/>
      <w:bookmarkStart w:id="839" w:name="_Toc499883560"/>
      <w:bookmarkStart w:id="840" w:name="_Toc499883776"/>
      <w:bookmarkStart w:id="841" w:name="_Toc499883967"/>
      <w:bookmarkStart w:id="842" w:name="_Toc499884157"/>
      <w:bookmarkStart w:id="843" w:name="_Toc500232404"/>
      <w:bookmarkStart w:id="844" w:name="_Toc499883561"/>
      <w:bookmarkStart w:id="845" w:name="_Toc499883777"/>
      <w:bookmarkStart w:id="846" w:name="_Toc499883968"/>
      <w:bookmarkStart w:id="847" w:name="_Toc499884158"/>
      <w:bookmarkStart w:id="848" w:name="_Toc500232405"/>
      <w:bookmarkStart w:id="849" w:name="_Toc499883562"/>
      <w:bookmarkStart w:id="850" w:name="_Toc499883778"/>
      <w:bookmarkStart w:id="851" w:name="_Toc499883969"/>
      <w:bookmarkStart w:id="852" w:name="_Toc499884159"/>
      <w:bookmarkStart w:id="853" w:name="_Toc500232406"/>
      <w:bookmarkStart w:id="854" w:name="_Toc535854482"/>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lang w:val="it-IT"/>
        </w:rPr>
        <w:t>I</w:t>
      </w:r>
      <w:r w:rsidRPr="00FB1545">
        <w:t xml:space="preserve"> </w:t>
      </w:r>
      <w:r>
        <w:rPr>
          <w:lang w:val="it-IT"/>
        </w:rPr>
        <w:t>dipendenti</w:t>
      </w:r>
      <w:r w:rsidRPr="00FB1545">
        <w:t>.</w:t>
      </w:r>
      <w:bookmarkEnd w:id="854"/>
    </w:p>
    <w:p w14:paraId="1C1048ED" w14:textId="0CD377A3"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L’art. 9, comma 1, del D.P.R. n. 62/2013 integrato con l’art. 10 del Codice di comportamento adottato </w:t>
      </w:r>
      <w:r>
        <w:rPr>
          <w:rFonts w:ascii="Times New Roman" w:hAnsi="Times New Roman"/>
          <w:sz w:val="20"/>
          <w:szCs w:val="20"/>
        </w:rPr>
        <w:t xml:space="preserve">dalla società </w:t>
      </w:r>
      <w:r w:rsidRPr="00CD7FBE">
        <w:rPr>
          <w:rFonts w:ascii="Times New Roman" w:hAnsi="Times New Roman"/>
          <w:sz w:val="20"/>
          <w:szCs w:val="20"/>
        </w:rPr>
        <w:t xml:space="preserve">afferma che: </w:t>
      </w:r>
    </w:p>
    <w:p w14:paraId="37CA70E2" w14:textId="77777777" w:rsidR="00603F3F" w:rsidRPr="00CD7FBE" w:rsidRDefault="00603F3F" w:rsidP="00603F3F">
      <w:pPr>
        <w:widowControl w:val="0"/>
        <w:spacing w:after="0"/>
        <w:ind w:left="284" w:hanging="284"/>
        <w:jc w:val="both"/>
        <w:rPr>
          <w:rFonts w:ascii="Times New Roman" w:hAnsi="Times New Roman"/>
          <w:i/>
          <w:sz w:val="20"/>
          <w:szCs w:val="20"/>
        </w:rPr>
      </w:pPr>
      <w:r w:rsidRPr="00CD7FBE">
        <w:rPr>
          <w:rFonts w:ascii="Times New Roman" w:hAnsi="Times New Roman"/>
          <w:sz w:val="20"/>
          <w:szCs w:val="20"/>
        </w:rPr>
        <w:t xml:space="preserve">“- </w:t>
      </w:r>
      <w:r w:rsidRPr="00CD7FBE">
        <w:rPr>
          <w:rFonts w:ascii="Times New Roman" w:hAnsi="Times New Roman"/>
          <w:sz w:val="20"/>
          <w:szCs w:val="20"/>
        </w:rPr>
        <w:tab/>
      </w:r>
      <w:r w:rsidRPr="00CD7FBE">
        <w:rPr>
          <w:rFonts w:ascii="Times New Roman" w:hAnsi="Times New Roman"/>
          <w:i/>
          <w:sz w:val="20"/>
          <w:szCs w:val="20"/>
        </w:rPr>
        <w:t>il dipendente deve osservare tutte le misure previste nel Piano Triennale per la Prevenzione della Corruzione – Sezione I</w:t>
      </w:r>
      <w:r>
        <w:rPr>
          <w:rFonts w:ascii="Times New Roman" w:hAnsi="Times New Roman"/>
          <w:i/>
          <w:sz w:val="20"/>
          <w:szCs w:val="20"/>
        </w:rPr>
        <w:t>I</w:t>
      </w:r>
      <w:r w:rsidRPr="00CD7FBE">
        <w:rPr>
          <w:rFonts w:ascii="Times New Roman" w:hAnsi="Times New Roman"/>
          <w:i/>
          <w:sz w:val="20"/>
          <w:szCs w:val="20"/>
        </w:rPr>
        <w:t xml:space="preserve"> (…) e rispettare, nell'ambito delle proprie mansioni, gli obblighi derivanti dalla normativa sulla trasparenza onde pervenire alla realizzazione degli obiettivi di cui al piano della trasparenza, informando la struttura competente in materia di gestione del sito web sulla necessità di aggiornare, correggere e integrare i dati e i documenti oggetto di pubblicazione che rientrano nella propria sfera di competenza e ad agevolare il flusso delle informazioni e dei dati oggetto di pubblicazione; </w:t>
      </w:r>
    </w:p>
    <w:p w14:paraId="6C595E33" w14:textId="122A392D" w:rsidR="00603F3F" w:rsidRPr="00AF59F2" w:rsidRDefault="00603F3F" w:rsidP="00603F3F">
      <w:pPr>
        <w:pStyle w:val="Paragrafoelenco"/>
        <w:widowControl w:val="0"/>
        <w:numPr>
          <w:ilvl w:val="0"/>
          <w:numId w:val="1"/>
        </w:numPr>
        <w:tabs>
          <w:tab w:val="clear" w:pos="720"/>
        </w:tabs>
        <w:spacing w:after="0" w:line="276" w:lineRule="auto"/>
        <w:ind w:left="284" w:hanging="284"/>
        <w:contextualSpacing w:val="0"/>
        <w:jc w:val="both"/>
        <w:rPr>
          <w:rFonts w:ascii="Times New Roman" w:hAnsi="Times New Roman"/>
          <w:i/>
          <w:sz w:val="20"/>
          <w:szCs w:val="20"/>
        </w:rPr>
      </w:pPr>
      <w:r w:rsidRPr="00AF59F2">
        <w:rPr>
          <w:rFonts w:ascii="Times New Roman" w:hAnsi="Times New Roman"/>
          <w:i/>
          <w:sz w:val="20"/>
          <w:szCs w:val="20"/>
        </w:rPr>
        <w:t xml:space="preserve">il dipendente è tenuto a mettere a disposizione in modo tempestivo, preciso e completo e nei tempi richiesti dal </w:t>
      </w:r>
      <w:r w:rsidR="00F74514">
        <w:rPr>
          <w:rFonts w:ascii="Times New Roman" w:hAnsi="Times New Roman"/>
          <w:i/>
          <w:sz w:val="20"/>
          <w:szCs w:val="20"/>
        </w:rPr>
        <w:t>Responsabile</w:t>
      </w:r>
      <w:r w:rsidRPr="00AF59F2">
        <w:rPr>
          <w:rFonts w:ascii="Times New Roman" w:hAnsi="Times New Roman"/>
          <w:i/>
          <w:sz w:val="20"/>
          <w:szCs w:val="20"/>
        </w:rPr>
        <w:t xml:space="preserve"> del Servizio di appartenenza e/o dal Responsabile della trasparenza tutti i dati, le informazioni, gli atti e le elaborazioni oggetto di pubblicazione, a fini di trasparenza; </w:t>
      </w:r>
    </w:p>
    <w:p w14:paraId="3B7FAB09" w14:textId="77777777" w:rsidR="00603F3F" w:rsidRPr="00AF59F2" w:rsidRDefault="00603F3F" w:rsidP="00603F3F">
      <w:pPr>
        <w:pStyle w:val="Paragrafoelenco"/>
        <w:widowControl w:val="0"/>
        <w:numPr>
          <w:ilvl w:val="0"/>
          <w:numId w:val="1"/>
        </w:numPr>
        <w:tabs>
          <w:tab w:val="clear" w:pos="720"/>
        </w:tabs>
        <w:spacing w:after="0" w:line="276" w:lineRule="auto"/>
        <w:ind w:left="284" w:hanging="284"/>
        <w:contextualSpacing w:val="0"/>
        <w:jc w:val="both"/>
        <w:rPr>
          <w:rFonts w:ascii="Times New Roman" w:hAnsi="Times New Roman"/>
          <w:i/>
          <w:sz w:val="20"/>
          <w:szCs w:val="20"/>
        </w:rPr>
      </w:pPr>
      <w:r w:rsidRPr="00AF59F2">
        <w:rPr>
          <w:rFonts w:ascii="Times New Roman" w:hAnsi="Times New Roman"/>
          <w:i/>
          <w:sz w:val="20"/>
          <w:szCs w:val="20"/>
        </w:rPr>
        <w:t xml:space="preserve">il dipendente deve avere cura e accertarsi, nella pubblicazione degli atti conclusivi dei procedimenti, che non siano determinazioni dirigenziali o atti deliberativi, che l'atto pubblicato contenga tutte le informazioni necessarie a ricostruire tutte le fasi del procedimento stesso. La tracciabilità dei processi decisionali adottati dai dipendenti è, comunque, garantita dall'elaborazione, adozione e registrazione degli atti amministrativi attraverso supporti informatici documentali e di processo appositamente individuati anche in grado di gestire e monitorare l'iter dei procedimenti (…); </w:t>
      </w:r>
    </w:p>
    <w:p w14:paraId="2BD15050" w14:textId="77777777" w:rsidR="00603F3F" w:rsidRDefault="00603F3F" w:rsidP="00603F3F">
      <w:pPr>
        <w:widowControl w:val="0"/>
        <w:spacing w:after="0"/>
        <w:jc w:val="both"/>
        <w:rPr>
          <w:rFonts w:ascii="Times New Roman" w:hAnsi="Times New Roman"/>
          <w:sz w:val="20"/>
          <w:szCs w:val="20"/>
        </w:rPr>
      </w:pPr>
    </w:p>
    <w:p w14:paraId="1802D0F3" w14:textId="4603B6FE"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Pertanto, tutti i dipendenti che concorrono alle attività di trasmissione e pubblicazione dei dati oggetto di pubblicazione ai sensi della normativa vigente hanno il dovere di assicurare la massima collaborazione nell’elaborazione, reperimento e trasmissione dei dati stessi. </w:t>
      </w:r>
    </w:p>
    <w:p w14:paraId="67563147" w14:textId="77777777" w:rsidR="00603F3F" w:rsidRPr="00CD7FBE" w:rsidRDefault="00603F3F" w:rsidP="00603F3F">
      <w:pPr>
        <w:pStyle w:val="Default"/>
        <w:widowControl w:val="0"/>
        <w:spacing w:line="276" w:lineRule="auto"/>
        <w:jc w:val="both"/>
        <w:rPr>
          <w:rFonts w:ascii="Times New Roman" w:hAnsi="Times New Roman" w:cs="Times New Roman"/>
          <w:strike/>
          <w:color w:val="auto"/>
          <w:sz w:val="20"/>
          <w:szCs w:val="20"/>
          <w:lang w:eastAsia="en-US"/>
        </w:rPr>
      </w:pPr>
      <w:bookmarkStart w:id="855" w:name="_Toc418505958"/>
      <w:bookmarkStart w:id="856" w:name="_Toc454796257"/>
      <w:bookmarkStart w:id="857" w:name="_Toc454796319"/>
      <w:bookmarkStart w:id="858" w:name="_Toc471996560"/>
      <w:bookmarkStart w:id="859" w:name="_Toc473547439"/>
      <w:bookmarkEnd w:id="803"/>
      <w:bookmarkEnd w:id="806"/>
      <w:bookmarkEnd w:id="807"/>
      <w:bookmarkEnd w:id="808"/>
    </w:p>
    <w:p w14:paraId="70AD6AB3" w14:textId="77777777" w:rsidR="00603F3F" w:rsidRPr="00281557" w:rsidRDefault="00603F3F" w:rsidP="00603F3F">
      <w:pPr>
        <w:pStyle w:val="Titolo2"/>
        <w:keepNext w:val="0"/>
        <w:spacing w:line="276" w:lineRule="auto"/>
        <w:ind w:left="426" w:hanging="426"/>
        <w:rPr>
          <w:color w:val="0070C0"/>
        </w:rPr>
      </w:pPr>
      <w:bookmarkStart w:id="860" w:name="_Toc535854483"/>
      <w:r w:rsidRPr="00281557">
        <w:rPr>
          <w:color w:val="0070C0"/>
        </w:rPr>
        <w:t>L’attuazione degli obblighi di pubblicità, trasparenza e diffusione delle informazioni</w:t>
      </w:r>
      <w:bookmarkEnd w:id="860"/>
    </w:p>
    <w:p w14:paraId="47E3432C" w14:textId="77777777" w:rsidR="00603F3F" w:rsidRPr="00FB1545" w:rsidRDefault="00603F3F" w:rsidP="003E3269">
      <w:pPr>
        <w:pStyle w:val="Titolo3"/>
        <w:keepNext w:val="0"/>
        <w:widowControl w:val="0"/>
        <w:numPr>
          <w:ilvl w:val="1"/>
          <w:numId w:val="31"/>
        </w:numPr>
        <w:spacing w:line="276" w:lineRule="auto"/>
        <w:ind w:left="567" w:hanging="567"/>
        <w:contextualSpacing w:val="0"/>
        <w:jc w:val="both"/>
      </w:pPr>
      <w:bookmarkStart w:id="861" w:name="_Toc535854484"/>
      <w:r w:rsidRPr="00FB1545">
        <w:t>Il processo di attuazione del Programma: misure organizzative per la pubblicazione degli obblighi di trasparenza</w:t>
      </w:r>
      <w:bookmarkEnd w:id="855"/>
      <w:bookmarkEnd w:id="856"/>
      <w:bookmarkEnd w:id="857"/>
      <w:bookmarkEnd w:id="858"/>
      <w:bookmarkEnd w:id="859"/>
      <w:bookmarkEnd w:id="861"/>
    </w:p>
    <w:p w14:paraId="080CB6B2" w14:textId="75D5C9E9" w:rsidR="00603F3F" w:rsidRDefault="00603F3F" w:rsidP="00603F3F">
      <w:pPr>
        <w:widowControl w:val="0"/>
        <w:spacing w:after="0"/>
        <w:jc w:val="both"/>
        <w:rPr>
          <w:rFonts w:ascii="Times New Roman" w:hAnsi="Times New Roman"/>
          <w:sz w:val="20"/>
          <w:szCs w:val="20"/>
        </w:rPr>
      </w:pPr>
      <w:r>
        <w:rPr>
          <w:rFonts w:ascii="Times New Roman" w:hAnsi="Times New Roman"/>
          <w:sz w:val="20"/>
          <w:szCs w:val="20"/>
        </w:rPr>
        <w:t>C</w:t>
      </w:r>
      <w:r w:rsidRPr="00CD7FBE">
        <w:rPr>
          <w:rFonts w:ascii="Times New Roman" w:hAnsi="Times New Roman"/>
          <w:sz w:val="20"/>
          <w:szCs w:val="20"/>
        </w:rPr>
        <w:t>iascun Responsabile per la trasmissione del dato è tenuto a trasmettere al Responsabile per le pubblicazioni tutti i dati, le notizie e le informazioni oggetto di pubblicazione ai sensi della vigente normativa e, unitamente al Responsabile per le pubblicazioni, verificare che tali dati, notizie ed informazioni rispondano ai requisiti di completezza, tempestività e qualità di cui agli artt. 6</w:t>
      </w:r>
      <w:r w:rsidRPr="00CD7FBE">
        <w:rPr>
          <w:rStyle w:val="Rimandonotadichiusura"/>
          <w:rFonts w:ascii="Times New Roman" w:hAnsi="Times New Roman"/>
          <w:sz w:val="20"/>
          <w:szCs w:val="20"/>
        </w:rPr>
        <w:endnoteReference w:id="77"/>
      </w:r>
      <w:r w:rsidRPr="00CD7FBE">
        <w:rPr>
          <w:rFonts w:ascii="Times New Roman" w:hAnsi="Times New Roman"/>
          <w:sz w:val="20"/>
          <w:szCs w:val="20"/>
        </w:rPr>
        <w:t xml:space="preserve"> e 8</w:t>
      </w:r>
      <w:r w:rsidRPr="00CD7FBE">
        <w:rPr>
          <w:rStyle w:val="Rimandonotadichiusura"/>
          <w:rFonts w:ascii="Times New Roman" w:hAnsi="Times New Roman"/>
          <w:sz w:val="20"/>
          <w:szCs w:val="20"/>
        </w:rPr>
        <w:endnoteReference w:id="78"/>
      </w:r>
      <w:r w:rsidRPr="00CD7FBE">
        <w:rPr>
          <w:rFonts w:ascii="Times New Roman" w:hAnsi="Times New Roman"/>
          <w:sz w:val="20"/>
          <w:szCs w:val="20"/>
        </w:rPr>
        <w:t xml:space="preserve"> del </w:t>
      </w:r>
      <w:r>
        <w:rPr>
          <w:rFonts w:ascii="Times New Roman" w:hAnsi="Times New Roman"/>
          <w:sz w:val="20"/>
          <w:szCs w:val="20"/>
        </w:rPr>
        <w:t>D. Lgs</w:t>
      </w:r>
      <w:r w:rsidRPr="00CD7FBE">
        <w:rPr>
          <w:rFonts w:ascii="Times New Roman" w:hAnsi="Times New Roman"/>
          <w:sz w:val="20"/>
          <w:szCs w:val="20"/>
        </w:rPr>
        <w:t>. n. 33/2013, nonché alle caratteristiche di apertura del formato di cui all’art. 7</w:t>
      </w:r>
      <w:r w:rsidRPr="00CD7FBE">
        <w:rPr>
          <w:rStyle w:val="Rimandonotadichiusura"/>
          <w:rFonts w:ascii="Times New Roman" w:hAnsi="Times New Roman"/>
          <w:sz w:val="20"/>
          <w:szCs w:val="20"/>
        </w:rPr>
        <w:endnoteReference w:id="79"/>
      </w:r>
      <w:r>
        <w:rPr>
          <w:rFonts w:ascii="Times New Roman" w:hAnsi="Times New Roman"/>
          <w:sz w:val="20"/>
          <w:szCs w:val="20"/>
        </w:rPr>
        <w:t xml:space="preserve"> del medesimo decreto. </w:t>
      </w:r>
      <w:r w:rsidRPr="00CD7FBE">
        <w:rPr>
          <w:rFonts w:ascii="Times New Roman" w:hAnsi="Times New Roman"/>
          <w:sz w:val="20"/>
          <w:szCs w:val="20"/>
        </w:rPr>
        <w:t>Per reperire i dati, le notizie e le informazioni, il “</w:t>
      </w:r>
      <w:r w:rsidRPr="007C24BD">
        <w:rPr>
          <w:rFonts w:ascii="Times New Roman" w:hAnsi="Times New Roman"/>
          <w:i/>
          <w:sz w:val="20"/>
          <w:szCs w:val="20"/>
        </w:rPr>
        <w:t>Responsabile per le trasmissioni</w:t>
      </w:r>
      <w:r w:rsidR="003F662B">
        <w:rPr>
          <w:rFonts w:ascii="Times New Roman" w:hAnsi="Times New Roman"/>
          <w:sz w:val="20"/>
          <w:szCs w:val="20"/>
        </w:rPr>
        <w:t>” dovrà rivolgersi al Direttore</w:t>
      </w:r>
      <w:r w:rsidRPr="00CD7FBE">
        <w:rPr>
          <w:rFonts w:ascii="Times New Roman" w:hAnsi="Times New Roman"/>
          <w:sz w:val="20"/>
          <w:szCs w:val="20"/>
        </w:rPr>
        <w:t>/Responsabile della propria struttura di appartenenza, il quale assicura la tempestiva e completa trasmissione al “</w:t>
      </w:r>
      <w:r w:rsidRPr="007C24BD">
        <w:rPr>
          <w:rFonts w:ascii="Times New Roman" w:hAnsi="Times New Roman"/>
          <w:i/>
          <w:sz w:val="20"/>
          <w:szCs w:val="20"/>
        </w:rPr>
        <w:t>Responsabile per le pubblicazioni</w:t>
      </w:r>
      <w:r w:rsidRPr="00CD7FBE">
        <w:rPr>
          <w:rFonts w:ascii="Times New Roman" w:hAnsi="Times New Roman"/>
          <w:sz w:val="20"/>
          <w:szCs w:val="20"/>
        </w:rPr>
        <w:t xml:space="preserve">” di quanto costituisce obbligo di pubblicazione assicurando, altresì, il rispetto dei requisiti qualitativi e delle caratteristiche di </w:t>
      </w:r>
      <w:r>
        <w:rPr>
          <w:rFonts w:ascii="Times New Roman" w:hAnsi="Times New Roman"/>
          <w:sz w:val="20"/>
          <w:szCs w:val="20"/>
        </w:rPr>
        <w:t xml:space="preserve">apertura del formato richiesto. </w:t>
      </w:r>
      <w:r w:rsidRPr="00CD7FBE">
        <w:rPr>
          <w:rFonts w:ascii="Times New Roman" w:hAnsi="Times New Roman"/>
          <w:sz w:val="20"/>
          <w:szCs w:val="20"/>
        </w:rPr>
        <w:t>Ciascuno dei “</w:t>
      </w:r>
      <w:r w:rsidRPr="007C24BD">
        <w:rPr>
          <w:rFonts w:ascii="Times New Roman" w:hAnsi="Times New Roman"/>
          <w:i/>
          <w:sz w:val="20"/>
          <w:szCs w:val="20"/>
        </w:rPr>
        <w:t>Responsabili per le pubblicazioni</w:t>
      </w:r>
      <w:r w:rsidRPr="00CD7FBE">
        <w:rPr>
          <w:rFonts w:ascii="Times New Roman" w:hAnsi="Times New Roman"/>
          <w:sz w:val="20"/>
          <w:szCs w:val="20"/>
        </w:rPr>
        <w:t xml:space="preserve">” è dotato delle necessarie credenziali di accesso al sito </w:t>
      </w:r>
      <w:r w:rsidR="00281557">
        <w:rPr>
          <w:rFonts w:ascii="Times New Roman" w:hAnsi="Times New Roman"/>
          <w:i/>
          <w:sz w:val="20"/>
        </w:rPr>
        <w:t>I</w:t>
      </w:r>
      <w:r w:rsidRPr="00FB1545">
        <w:rPr>
          <w:rFonts w:ascii="Times New Roman" w:hAnsi="Times New Roman"/>
          <w:i/>
          <w:sz w:val="20"/>
        </w:rPr>
        <w:t>nternet</w:t>
      </w:r>
      <w:r w:rsidRPr="00CD7FBE">
        <w:rPr>
          <w:rFonts w:ascii="Times New Roman" w:hAnsi="Times New Roman"/>
          <w:sz w:val="20"/>
          <w:szCs w:val="20"/>
        </w:rPr>
        <w:t xml:space="preserve"> e intranet al fine di effettuare te</w:t>
      </w:r>
      <w:r>
        <w:rPr>
          <w:rFonts w:ascii="Times New Roman" w:hAnsi="Times New Roman"/>
          <w:sz w:val="20"/>
          <w:szCs w:val="20"/>
        </w:rPr>
        <w:t xml:space="preserve">mpestivamente le pubblicazioni. </w:t>
      </w:r>
      <w:r w:rsidRPr="00AF59F2">
        <w:rPr>
          <w:rFonts w:ascii="Times New Roman" w:hAnsi="Times New Roman"/>
          <w:sz w:val="20"/>
          <w:szCs w:val="20"/>
        </w:rPr>
        <w:t>In caso di inadempimento anche parziale o di ritardo nell’adempimento degli obblighi di pubblicazione, il “</w:t>
      </w:r>
      <w:r w:rsidRPr="007C24BD">
        <w:rPr>
          <w:rFonts w:ascii="Times New Roman" w:hAnsi="Times New Roman"/>
          <w:i/>
          <w:sz w:val="20"/>
          <w:szCs w:val="20"/>
        </w:rPr>
        <w:t>Responsabile per le pubblicazioni</w:t>
      </w:r>
      <w:r w:rsidRPr="00AF59F2">
        <w:rPr>
          <w:rFonts w:ascii="Times New Roman" w:hAnsi="Times New Roman"/>
          <w:sz w:val="20"/>
          <w:szCs w:val="20"/>
        </w:rPr>
        <w:t>” deve segnalarlo al Struttura Responsabile della trasmissione che deve provvedere entro 10 giorni dalla segnalazione.</w:t>
      </w:r>
      <w:r w:rsidRPr="00CD7FBE">
        <w:rPr>
          <w:rFonts w:ascii="Times New Roman" w:hAnsi="Times New Roman"/>
          <w:sz w:val="20"/>
          <w:szCs w:val="20"/>
        </w:rPr>
        <w:t xml:space="preserve"> </w:t>
      </w:r>
      <w:r>
        <w:rPr>
          <w:rFonts w:ascii="Times New Roman" w:hAnsi="Times New Roman"/>
          <w:sz w:val="20"/>
          <w:szCs w:val="20"/>
        </w:rPr>
        <w:t xml:space="preserve"> </w:t>
      </w:r>
      <w:r w:rsidRPr="00AF59F2">
        <w:rPr>
          <w:rFonts w:ascii="Times New Roman" w:hAnsi="Times New Roman"/>
          <w:sz w:val="20"/>
          <w:szCs w:val="20"/>
        </w:rPr>
        <w:t>In caso di perdurante inadempimento, il “</w:t>
      </w:r>
      <w:r w:rsidRPr="007C24BD">
        <w:rPr>
          <w:rFonts w:ascii="Times New Roman" w:hAnsi="Times New Roman"/>
          <w:i/>
          <w:sz w:val="20"/>
          <w:szCs w:val="20"/>
        </w:rPr>
        <w:t>Responsabile per le pubblicazioni</w:t>
      </w:r>
      <w:r w:rsidRPr="00AF59F2">
        <w:rPr>
          <w:rFonts w:ascii="Times New Roman" w:hAnsi="Times New Roman"/>
          <w:sz w:val="20"/>
          <w:szCs w:val="20"/>
        </w:rPr>
        <w:t xml:space="preserve">” ne dà comunicazione al </w:t>
      </w:r>
      <w:r>
        <w:rPr>
          <w:rFonts w:ascii="Times New Roman" w:hAnsi="Times New Roman"/>
          <w:sz w:val="20"/>
          <w:szCs w:val="20"/>
        </w:rPr>
        <w:t>RPCT</w:t>
      </w:r>
      <w:r w:rsidRPr="00AF59F2">
        <w:rPr>
          <w:rFonts w:ascii="Times New Roman" w:hAnsi="Times New Roman"/>
          <w:sz w:val="20"/>
          <w:szCs w:val="20"/>
        </w:rPr>
        <w:t xml:space="preserve"> per i provvedimenti conseguenti ex art. 43, commi 1</w:t>
      </w:r>
      <w:r w:rsidRPr="00AF59F2">
        <w:rPr>
          <w:rStyle w:val="Rimandonotadichiusura"/>
          <w:rFonts w:ascii="Times New Roman" w:hAnsi="Times New Roman"/>
          <w:sz w:val="20"/>
          <w:szCs w:val="20"/>
        </w:rPr>
        <w:endnoteReference w:id="80"/>
      </w:r>
      <w:r w:rsidRPr="00AF59F2">
        <w:rPr>
          <w:rFonts w:ascii="Times New Roman" w:hAnsi="Times New Roman"/>
          <w:sz w:val="20"/>
          <w:szCs w:val="20"/>
        </w:rPr>
        <w:t xml:space="preserve"> e 5</w:t>
      </w:r>
      <w:r w:rsidRPr="00AF59F2">
        <w:rPr>
          <w:rStyle w:val="Rimandonotadichiusura"/>
          <w:rFonts w:ascii="Times New Roman" w:hAnsi="Times New Roman"/>
          <w:sz w:val="20"/>
          <w:szCs w:val="20"/>
        </w:rPr>
        <w:endnoteReference w:id="81"/>
      </w:r>
      <w:r w:rsidRPr="00AF59F2">
        <w:rPr>
          <w:rFonts w:ascii="Times New Roman" w:hAnsi="Times New Roman"/>
          <w:sz w:val="20"/>
          <w:szCs w:val="20"/>
        </w:rPr>
        <w:t xml:space="preserve"> del </w:t>
      </w:r>
      <w:r>
        <w:rPr>
          <w:rFonts w:ascii="Times New Roman" w:hAnsi="Times New Roman"/>
          <w:sz w:val="20"/>
          <w:szCs w:val="20"/>
        </w:rPr>
        <w:t>D. Lgs</w:t>
      </w:r>
      <w:r w:rsidRPr="00AF59F2">
        <w:rPr>
          <w:rFonts w:ascii="Times New Roman" w:hAnsi="Times New Roman"/>
          <w:sz w:val="20"/>
          <w:szCs w:val="20"/>
        </w:rPr>
        <w:t>. n. 33/2013.</w:t>
      </w:r>
      <w:r w:rsidRPr="00CD7FBE">
        <w:rPr>
          <w:rFonts w:ascii="Times New Roman" w:hAnsi="Times New Roman"/>
          <w:sz w:val="20"/>
          <w:szCs w:val="20"/>
        </w:rPr>
        <w:t xml:space="preserve"> </w:t>
      </w:r>
      <w:bookmarkStart w:id="862" w:name="_Toc418505959"/>
    </w:p>
    <w:p w14:paraId="25AFF997" w14:textId="77777777" w:rsidR="001E7CB7" w:rsidRPr="00CD7FBE" w:rsidRDefault="001E7CB7" w:rsidP="00603F3F">
      <w:pPr>
        <w:widowControl w:val="0"/>
        <w:spacing w:after="0"/>
        <w:jc w:val="both"/>
        <w:rPr>
          <w:rFonts w:ascii="Times New Roman" w:hAnsi="Times New Roman"/>
          <w:sz w:val="20"/>
          <w:szCs w:val="20"/>
        </w:rPr>
      </w:pPr>
    </w:p>
    <w:p w14:paraId="6AC98C00" w14:textId="77777777" w:rsidR="00603F3F" w:rsidRPr="00CD7FBE" w:rsidRDefault="00603F3F" w:rsidP="00603F3F">
      <w:pPr>
        <w:widowControl w:val="0"/>
        <w:spacing w:after="0"/>
        <w:jc w:val="both"/>
        <w:rPr>
          <w:rFonts w:ascii="Times New Roman" w:hAnsi="Times New Roman"/>
          <w:i/>
          <w:spacing w:val="1"/>
          <w:sz w:val="20"/>
          <w:szCs w:val="20"/>
        </w:rPr>
      </w:pPr>
    </w:p>
    <w:p w14:paraId="510CC4D3" w14:textId="77777777" w:rsidR="00603F3F" w:rsidRPr="00FB1545" w:rsidRDefault="00603F3F" w:rsidP="003E3269">
      <w:pPr>
        <w:pStyle w:val="Titolo3"/>
        <w:keepNext w:val="0"/>
        <w:widowControl w:val="0"/>
        <w:numPr>
          <w:ilvl w:val="1"/>
          <w:numId w:val="31"/>
        </w:numPr>
        <w:spacing w:line="276" w:lineRule="auto"/>
        <w:ind w:left="567" w:hanging="567"/>
        <w:contextualSpacing w:val="0"/>
        <w:jc w:val="both"/>
      </w:pPr>
      <w:bookmarkStart w:id="863" w:name="_Toc454796258"/>
      <w:bookmarkStart w:id="864" w:name="_Toc454796320"/>
      <w:bookmarkStart w:id="865" w:name="_Toc471996561"/>
      <w:bookmarkStart w:id="866" w:name="_Toc473547440"/>
      <w:bookmarkStart w:id="867" w:name="_Toc535854485"/>
      <w:r w:rsidRPr="00FB1545">
        <w:t xml:space="preserve">Le misure di monitoraggio e di vigilanza sull’attuazione degli obblighi di trasparenza a supporto dell’attività di controllo dell’adempimento da parte del </w:t>
      </w:r>
      <w:bookmarkEnd w:id="862"/>
      <w:bookmarkEnd w:id="863"/>
      <w:bookmarkEnd w:id="864"/>
      <w:bookmarkEnd w:id="865"/>
      <w:bookmarkEnd w:id="866"/>
      <w:r>
        <w:t>RPCT</w:t>
      </w:r>
      <w:bookmarkEnd w:id="867"/>
    </w:p>
    <w:p w14:paraId="607DA7AF" w14:textId="08A69239" w:rsidR="00603F3F" w:rsidRPr="00CD7FBE" w:rsidRDefault="00603F3F" w:rsidP="00603F3F">
      <w:pPr>
        <w:widowControl w:val="0"/>
        <w:spacing w:after="0"/>
        <w:jc w:val="both"/>
        <w:rPr>
          <w:rFonts w:ascii="Times New Roman" w:hAnsi="Times New Roman"/>
          <w:sz w:val="20"/>
          <w:szCs w:val="20"/>
        </w:rPr>
      </w:pPr>
      <w:r w:rsidRPr="00CD7FBE">
        <w:rPr>
          <w:rFonts w:ascii="Times New Roman" w:hAnsi="Times New Roman"/>
          <w:sz w:val="20"/>
          <w:szCs w:val="20"/>
        </w:rPr>
        <w:t xml:space="preserve">Il </w:t>
      </w:r>
      <w:r>
        <w:rPr>
          <w:rFonts w:ascii="Times New Roman" w:hAnsi="Times New Roman"/>
          <w:sz w:val="20"/>
          <w:szCs w:val="20"/>
        </w:rPr>
        <w:t>RPCT</w:t>
      </w:r>
      <w:r w:rsidRPr="00CD7FBE">
        <w:rPr>
          <w:rFonts w:ascii="Times New Roman" w:hAnsi="Times New Roman"/>
          <w:sz w:val="20"/>
          <w:szCs w:val="20"/>
        </w:rPr>
        <w:t xml:space="preserve"> svolge la funzione di</w:t>
      </w:r>
      <w:r w:rsidRPr="00CD7FBE">
        <w:rPr>
          <w:rFonts w:ascii="Times New Roman" w:hAnsi="Times New Roman"/>
          <w:b/>
          <w:bCs/>
          <w:sz w:val="20"/>
          <w:szCs w:val="20"/>
        </w:rPr>
        <w:t xml:space="preserve"> </w:t>
      </w:r>
      <w:r w:rsidRPr="00CD7FBE">
        <w:rPr>
          <w:rFonts w:ascii="Times New Roman" w:hAnsi="Times New Roman"/>
          <w:bCs/>
          <w:sz w:val="20"/>
          <w:szCs w:val="20"/>
        </w:rPr>
        <w:t>controllo</w:t>
      </w:r>
      <w:r w:rsidRPr="00CD7FBE">
        <w:rPr>
          <w:rFonts w:ascii="Times New Roman" w:hAnsi="Times New Roman"/>
          <w:b/>
          <w:bCs/>
          <w:sz w:val="20"/>
          <w:szCs w:val="20"/>
        </w:rPr>
        <w:t xml:space="preserve"> </w:t>
      </w:r>
      <w:r w:rsidRPr="00CD7FBE">
        <w:rPr>
          <w:rFonts w:ascii="Times New Roman" w:hAnsi="Times New Roman"/>
          <w:spacing w:val="-3"/>
          <w:sz w:val="20"/>
          <w:szCs w:val="20"/>
        </w:rPr>
        <w:t xml:space="preserve">dell’effettiva attuazione degli obblighi di pubblicazione previsti dalla normativa vigente da parte dei </w:t>
      </w:r>
      <w:r w:rsidR="0027089A">
        <w:rPr>
          <w:rFonts w:ascii="Times New Roman" w:hAnsi="Times New Roman"/>
          <w:spacing w:val="-3"/>
          <w:sz w:val="20"/>
          <w:szCs w:val="20"/>
        </w:rPr>
        <w:t>Responsabili</w:t>
      </w:r>
      <w:r w:rsidRPr="00CD7FBE">
        <w:rPr>
          <w:rFonts w:ascii="Times New Roman" w:hAnsi="Times New Roman"/>
          <w:spacing w:val="-3"/>
          <w:sz w:val="20"/>
          <w:szCs w:val="20"/>
        </w:rPr>
        <w:t xml:space="preserve">, predisponendo apposite </w:t>
      </w:r>
      <w:r w:rsidRPr="00CD7FBE">
        <w:rPr>
          <w:rFonts w:ascii="Times New Roman" w:hAnsi="Times New Roman"/>
          <w:bCs/>
          <w:spacing w:val="1"/>
          <w:sz w:val="20"/>
          <w:szCs w:val="20"/>
        </w:rPr>
        <w:t>segnalazioni</w:t>
      </w:r>
      <w:r w:rsidRPr="00CD7FBE">
        <w:rPr>
          <w:rFonts w:ascii="Times New Roman" w:hAnsi="Times New Roman"/>
          <w:spacing w:val="1"/>
          <w:sz w:val="20"/>
          <w:szCs w:val="20"/>
        </w:rPr>
        <w:t xml:space="preserve"> in caso sia riscontrato il mancato o ritardato adempimento.</w:t>
      </w:r>
      <w:r>
        <w:rPr>
          <w:rFonts w:ascii="Times New Roman" w:hAnsi="Times New Roman"/>
          <w:spacing w:val="1"/>
          <w:sz w:val="20"/>
          <w:szCs w:val="20"/>
        </w:rPr>
        <w:t xml:space="preserve"> </w:t>
      </w:r>
      <w:r w:rsidRPr="00CD7FBE">
        <w:rPr>
          <w:rFonts w:ascii="Times New Roman" w:hAnsi="Times New Roman"/>
          <w:sz w:val="20"/>
          <w:szCs w:val="20"/>
        </w:rPr>
        <w:t>Tale controllo viene attuato:</w:t>
      </w:r>
    </w:p>
    <w:p w14:paraId="4F96D364" w14:textId="77777777" w:rsidR="00603F3F" w:rsidRPr="0070096C" w:rsidRDefault="00603F3F" w:rsidP="00603F3F">
      <w:pPr>
        <w:widowControl w:val="0"/>
        <w:spacing w:after="0"/>
        <w:ind w:left="284" w:hanging="284"/>
        <w:jc w:val="both"/>
        <w:rPr>
          <w:rFonts w:ascii="Times New Roman" w:hAnsi="Times New Roman"/>
          <w:i/>
          <w:sz w:val="20"/>
          <w:szCs w:val="20"/>
        </w:rPr>
      </w:pPr>
      <w:r w:rsidRPr="00CD7FBE">
        <w:rPr>
          <w:rFonts w:ascii="Times New Roman" w:hAnsi="Times New Roman"/>
          <w:spacing w:val="-3"/>
          <w:sz w:val="20"/>
          <w:szCs w:val="20"/>
        </w:rPr>
        <w:t>-</w:t>
      </w:r>
      <w:r w:rsidRPr="00CD7FBE">
        <w:rPr>
          <w:rFonts w:ascii="Times New Roman" w:hAnsi="Times New Roman"/>
          <w:spacing w:val="-3"/>
          <w:sz w:val="20"/>
          <w:szCs w:val="20"/>
        </w:rPr>
        <w:tab/>
      </w:r>
      <w:r w:rsidRPr="0070096C">
        <w:rPr>
          <w:rFonts w:ascii="Times New Roman" w:hAnsi="Times New Roman"/>
          <w:i/>
          <w:spacing w:val="-3"/>
          <w:sz w:val="20"/>
          <w:szCs w:val="20"/>
        </w:rPr>
        <w:t>nell’ambito dell’attività di</w:t>
      </w:r>
      <w:r w:rsidRPr="0070096C">
        <w:rPr>
          <w:rFonts w:ascii="Times New Roman" w:hAnsi="Times New Roman"/>
          <w:b/>
          <w:bCs/>
          <w:i/>
          <w:spacing w:val="-3"/>
          <w:sz w:val="20"/>
          <w:szCs w:val="20"/>
        </w:rPr>
        <w:t xml:space="preserve"> </w:t>
      </w:r>
      <w:r w:rsidRPr="0070096C">
        <w:rPr>
          <w:rFonts w:ascii="Times New Roman" w:hAnsi="Times New Roman"/>
          <w:bCs/>
          <w:i/>
          <w:spacing w:val="-3"/>
          <w:sz w:val="20"/>
          <w:szCs w:val="20"/>
        </w:rPr>
        <w:t>monitoraggio del PTPCT</w:t>
      </w:r>
      <w:r w:rsidRPr="0070096C">
        <w:rPr>
          <w:rFonts w:ascii="Times New Roman" w:hAnsi="Times New Roman"/>
          <w:b/>
          <w:bCs/>
          <w:i/>
          <w:spacing w:val="-3"/>
          <w:sz w:val="20"/>
          <w:szCs w:val="20"/>
        </w:rPr>
        <w:t xml:space="preserve"> </w:t>
      </w:r>
      <w:r w:rsidRPr="0070096C">
        <w:rPr>
          <w:rFonts w:ascii="Times New Roman" w:hAnsi="Times New Roman"/>
          <w:i/>
          <w:sz w:val="20"/>
          <w:szCs w:val="20"/>
        </w:rPr>
        <w:t>con riferimento nello specifico al rispetto dei tempi procedimentali;</w:t>
      </w:r>
    </w:p>
    <w:p w14:paraId="683895F7"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i/>
          <w:spacing w:val="1"/>
          <w:sz w:val="20"/>
          <w:szCs w:val="20"/>
        </w:rPr>
        <w:t>-</w:t>
      </w:r>
      <w:r w:rsidRPr="0070096C">
        <w:rPr>
          <w:rFonts w:ascii="Times New Roman" w:hAnsi="Times New Roman"/>
          <w:i/>
          <w:spacing w:val="1"/>
          <w:sz w:val="20"/>
          <w:szCs w:val="20"/>
        </w:rPr>
        <w:tab/>
        <w:t>attraverso</w:t>
      </w:r>
      <w:r w:rsidRPr="0070096C">
        <w:rPr>
          <w:rFonts w:ascii="Times New Roman" w:hAnsi="Times New Roman"/>
          <w:b/>
          <w:bCs/>
          <w:i/>
          <w:spacing w:val="1"/>
          <w:sz w:val="20"/>
          <w:szCs w:val="20"/>
        </w:rPr>
        <w:t xml:space="preserve"> </w:t>
      </w:r>
      <w:r w:rsidRPr="0070096C">
        <w:rPr>
          <w:rFonts w:ascii="Times New Roman" w:hAnsi="Times New Roman"/>
          <w:bCs/>
          <w:i/>
          <w:spacing w:val="1"/>
          <w:sz w:val="20"/>
          <w:szCs w:val="20"/>
        </w:rPr>
        <w:t>appositi controlli a campione semestrali</w:t>
      </w:r>
      <w:r w:rsidRPr="0070096C">
        <w:rPr>
          <w:rFonts w:ascii="Times New Roman" w:hAnsi="Times New Roman"/>
          <w:i/>
          <w:spacing w:val="1"/>
          <w:sz w:val="20"/>
          <w:szCs w:val="20"/>
        </w:rPr>
        <w:t>, a verifica dell'aggiornamento delle informazioni pubblicate;</w:t>
      </w:r>
    </w:p>
    <w:p w14:paraId="5DDE217C" w14:textId="4157DF2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i/>
          <w:spacing w:val="1"/>
          <w:sz w:val="20"/>
          <w:szCs w:val="20"/>
        </w:rPr>
        <w:t>-</w:t>
      </w:r>
      <w:r w:rsidRPr="0070096C">
        <w:rPr>
          <w:rFonts w:ascii="Times New Roman" w:hAnsi="Times New Roman"/>
          <w:i/>
          <w:spacing w:val="1"/>
          <w:sz w:val="20"/>
          <w:szCs w:val="20"/>
        </w:rPr>
        <w:tab/>
        <w:t>tramite il monitoraggio effettuato in merito al</w:t>
      </w:r>
      <w:r w:rsidRPr="0070096C">
        <w:rPr>
          <w:rFonts w:ascii="Times New Roman" w:hAnsi="Times New Roman"/>
          <w:b/>
          <w:bCs/>
          <w:i/>
          <w:spacing w:val="1"/>
          <w:sz w:val="20"/>
          <w:szCs w:val="20"/>
        </w:rPr>
        <w:t xml:space="preserve"> </w:t>
      </w:r>
      <w:r w:rsidRPr="0070096C">
        <w:rPr>
          <w:rFonts w:ascii="Times New Roman" w:hAnsi="Times New Roman"/>
          <w:bCs/>
          <w:i/>
          <w:spacing w:val="1"/>
          <w:sz w:val="20"/>
          <w:szCs w:val="20"/>
        </w:rPr>
        <w:t>diritto di accesso civico</w:t>
      </w:r>
      <w:r w:rsidRPr="0070096C">
        <w:rPr>
          <w:rFonts w:ascii="Times New Roman" w:hAnsi="Times New Roman"/>
          <w:i/>
          <w:spacing w:val="1"/>
          <w:sz w:val="20"/>
          <w:szCs w:val="20"/>
        </w:rPr>
        <w:t xml:space="preserve"> (art. 5, c. 1, D.lgs. 33/2013</w:t>
      </w:r>
      <w:r w:rsidRPr="0070096C">
        <w:rPr>
          <w:rStyle w:val="Rimandonotadichiusura"/>
          <w:rFonts w:ascii="Times New Roman" w:hAnsi="Times New Roman"/>
          <w:i/>
          <w:spacing w:val="1"/>
          <w:sz w:val="20"/>
          <w:szCs w:val="20"/>
        </w:rPr>
        <w:endnoteReference w:id="82"/>
      </w:r>
      <w:r w:rsidRPr="0070096C">
        <w:rPr>
          <w:rFonts w:ascii="Times New Roman" w:hAnsi="Times New Roman"/>
          <w:i/>
          <w:spacing w:val="1"/>
          <w:sz w:val="20"/>
          <w:szCs w:val="20"/>
        </w:rPr>
        <w:t>).</w:t>
      </w:r>
    </w:p>
    <w:p w14:paraId="2DB77C72" w14:textId="77777777" w:rsidR="00603F3F" w:rsidRPr="0070096C" w:rsidRDefault="00603F3F" w:rsidP="00603F3F">
      <w:pPr>
        <w:widowControl w:val="0"/>
        <w:spacing w:after="0"/>
        <w:jc w:val="both"/>
        <w:rPr>
          <w:rFonts w:ascii="Times New Roman" w:hAnsi="Times New Roman"/>
          <w:i/>
          <w:spacing w:val="1"/>
          <w:sz w:val="20"/>
          <w:szCs w:val="20"/>
        </w:rPr>
      </w:pPr>
    </w:p>
    <w:p w14:paraId="732DF88E" w14:textId="77777777" w:rsidR="00603F3F" w:rsidRPr="00CD7FBE" w:rsidRDefault="00603F3F" w:rsidP="00603F3F">
      <w:pPr>
        <w:widowControl w:val="0"/>
        <w:spacing w:after="0"/>
        <w:jc w:val="both"/>
        <w:rPr>
          <w:rFonts w:ascii="Times New Roman" w:hAnsi="Times New Roman"/>
          <w:bCs/>
          <w:spacing w:val="1"/>
          <w:sz w:val="20"/>
          <w:szCs w:val="20"/>
        </w:rPr>
      </w:pPr>
      <w:r w:rsidRPr="00CD7FBE">
        <w:rPr>
          <w:rFonts w:ascii="Times New Roman" w:hAnsi="Times New Roman"/>
          <w:bCs/>
          <w:spacing w:val="1"/>
          <w:sz w:val="20"/>
          <w:szCs w:val="20"/>
        </w:rPr>
        <w:t>Per ogni informazione pubblicata verrà verificata:</w:t>
      </w:r>
    </w:p>
    <w:p w14:paraId="45A542F1"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CD7FBE">
        <w:rPr>
          <w:rFonts w:ascii="Times New Roman" w:hAnsi="Times New Roman"/>
          <w:bCs/>
          <w:spacing w:val="1"/>
          <w:sz w:val="20"/>
          <w:szCs w:val="20"/>
        </w:rPr>
        <w:t>-</w:t>
      </w:r>
      <w:r w:rsidRPr="00CD7FBE">
        <w:rPr>
          <w:rFonts w:ascii="Times New Roman" w:hAnsi="Times New Roman"/>
          <w:bCs/>
          <w:spacing w:val="1"/>
          <w:sz w:val="20"/>
          <w:szCs w:val="20"/>
        </w:rPr>
        <w:tab/>
      </w:r>
      <w:r w:rsidRPr="0070096C">
        <w:rPr>
          <w:rFonts w:ascii="Times New Roman" w:hAnsi="Times New Roman"/>
          <w:bCs/>
          <w:i/>
          <w:spacing w:val="1"/>
          <w:sz w:val="20"/>
          <w:szCs w:val="20"/>
        </w:rPr>
        <w:t>qualità;</w:t>
      </w:r>
    </w:p>
    <w:p w14:paraId="7005EBFE"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integrità;</w:t>
      </w:r>
    </w:p>
    <w:p w14:paraId="2E3B6450"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costante aggiornamento;</w:t>
      </w:r>
    </w:p>
    <w:p w14:paraId="3784206A"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completezza;</w:t>
      </w:r>
    </w:p>
    <w:p w14:paraId="62DC43B2"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tempestività;</w:t>
      </w:r>
    </w:p>
    <w:p w14:paraId="371DDE8E"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semplicità di consultazione;</w:t>
      </w:r>
    </w:p>
    <w:p w14:paraId="0FEFADBA"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comprensibilità;</w:t>
      </w:r>
    </w:p>
    <w:p w14:paraId="78E87EA0"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omogeneità;</w:t>
      </w:r>
    </w:p>
    <w:p w14:paraId="0A4EB9F6"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accessibilità;</w:t>
      </w:r>
    </w:p>
    <w:p w14:paraId="0940D355" w14:textId="2EF917F3"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conformità ai documenti originali in possesso della società;</w:t>
      </w:r>
    </w:p>
    <w:p w14:paraId="16F829DD" w14:textId="77777777" w:rsidR="00603F3F" w:rsidRPr="0070096C" w:rsidRDefault="00603F3F" w:rsidP="00603F3F">
      <w:pPr>
        <w:widowControl w:val="0"/>
        <w:spacing w:after="0"/>
        <w:ind w:left="284" w:hanging="284"/>
        <w:jc w:val="both"/>
        <w:rPr>
          <w:rFonts w:ascii="Times New Roman" w:hAnsi="Times New Roman"/>
          <w:bCs/>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presenza dell'indicazione della loro provenienza e della riutilizzabilità.</w:t>
      </w:r>
    </w:p>
    <w:p w14:paraId="496ACFC9" w14:textId="77777777" w:rsidR="00603F3F" w:rsidRPr="00CD7FBE" w:rsidRDefault="00603F3F" w:rsidP="00603F3F">
      <w:pPr>
        <w:widowControl w:val="0"/>
        <w:spacing w:after="0"/>
        <w:jc w:val="both"/>
        <w:rPr>
          <w:rFonts w:ascii="Times New Roman" w:hAnsi="Times New Roman"/>
          <w:i/>
          <w:sz w:val="20"/>
          <w:szCs w:val="20"/>
        </w:rPr>
      </w:pPr>
    </w:p>
    <w:p w14:paraId="27B4F625" w14:textId="1743407A" w:rsidR="00603F3F" w:rsidRPr="00CD7FBE" w:rsidRDefault="00603F3F" w:rsidP="00603F3F">
      <w:pPr>
        <w:widowControl w:val="0"/>
        <w:spacing w:after="0"/>
        <w:jc w:val="both"/>
        <w:rPr>
          <w:rFonts w:ascii="Times New Roman" w:hAnsi="Times New Roman"/>
          <w:bCs/>
          <w:spacing w:val="1"/>
          <w:sz w:val="20"/>
          <w:szCs w:val="20"/>
        </w:rPr>
      </w:pPr>
      <w:r w:rsidRPr="00C9327D">
        <w:rPr>
          <w:rFonts w:ascii="Times New Roman" w:hAnsi="Times New Roman"/>
          <w:spacing w:val="-2"/>
          <w:sz w:val="20"/>
          <w:szCs w:val="20"/>
        </w:rPr>
        <w:t>In sede di aggiornamento</w:t>
      </w:r>
      <w:r w:rsidRPr="00C9327D">
        <w:rPr>
          <w:rFonts w:ascii="Times New Roman" w:hAnsi="Times New Roman"/>
          <w:bCs/>
          <w:spacing w:val="-2"/>
          <w:sz w:val="20"/>
          <w:szCs w:val="20"/>
        </w:rPr>
        <w:t xml:space="preserve"> annuale</w:t>
      </w:r>
      <w:r w:rsidRPr="00C9327D">
        <w:rPr>
          <w:rFonts w:ascii="Times New Roman" w:hAnsi="Times New Roman"/>
          <w:spacing w:val="-2"/>
          <w:sz w:val="20"/>
          <w:szCs w:val="20"/>
        </w:rPr>
        <w:t xml:space="preserve"> del PTPCT viene rilevato lo</w:t>
      </w:r>
      <w:r w:rsidRPr="00C9327D">
        <w:rPr>
          <w:rFonts w:ascii="Times New Roman" w:hAnsi="Times New Roman"/>
          <w:bCs/>
          <w:spacing w:val="-2"/>
          <w:sz w:val="20"/>
          <w:szCs w:val="20"/>
        </w:rPr>
        <w:t xml:space="preserve"> stato di attuazione delle azioni </w:t>
      </w:r>
      <w:r w:rsidRPr="00C9327D">
        <w:rPr>
          <w:rFonts w:ascii="Times New Roman" w:hAnsi="Times New Roman"/>
          <w:bCs/>
          <w:spacing w:val="1"/>
          <w:sz w:val="20"/>
          <w:szCs w:val="20"/>
        </w:rPr>
        <w:t>previste dal Programma e il rispetto degli obblighi di pubblicazione.</w:t>
      </w:r>
      <w:r>
        <w:rPr>
          <w:rFonts w:ascii="Times New Roman" w:hAnsi="Times New Roman"/>
          <w:bCs/>
          <w:spacing w:val="1"/>
          <w:sz w:val="20"/>
          <w:szCs w:val="20"/>
        </w:rPr>
        <w:t xml:space="preserve"> Per i fini di cui sopra, le Linee Guida ANAC n. 1134/2017 stabiliscono che le società a controllo pubblico devono attribuire gli specifici compiti degli OIV (attestazione degli obblighi di pubblicazione, ricezione delle segnalazioni aventi ad oggetto i casi di mancato o ritardato adempimento agli obblighi di pubblicazione da parte del RPCT e verifica della coerenza tra gli obiettivi assegnati, gli atti di programmazione strategico-gestionali e di performance con quelli connessi all’anticorruzione e alla trasparenza e il potere di richiedere informazioni al RPCT ed effettuare audizioni di dipendenti) “</w:t>
      </w:r>
      <w:r w:rsidRPr="002171E6">
        <w:rPr>
          <w:rFonts w:ascii="Times New Roman" w:hAnsi="Times New Roman"/>
          <w:bCs/>
          <w:i/>
          <w:spacing w:val="1"/>
          <w:sz w:val="20"/>
          <w:szCs w:val="20"/>
        </w:rPr>
        <w:t xml:space="preserve">all’organo interno di controllo reputato più idoneo ovvero all’Organismo di Vigilanza (OdV) (o ad altro organo a cui siano eventualmente attribuite le relative funzioni), i cui riferimenti devono essere indicati chiaramente nel sito web all’interno della sezione </w:t>
      </w:r>
      <w:r>
        <w:rPr>
          <w:rFonts w:ascii="Times New Roman" w:hAnsi="Times New Roman"/>
          <w:bCs/>
          <w:i/>
          <w:spacing w:val="1"/>
          <w:sz w:val="20"/>
          <w:szCs w:val="20"/>
        </w:rPr>
        <w:t>società</w:t>
      </w:r>
      <w:r w:rsidRPr="002171E6">
        <w:rPr>
          <w:rFonts w:ascii="Times New Roman" w:hAnsi="Times New Roman"/>
          <w:bCs/>
          <w:i/>
          <w:spacing w:val="1"/>
          <w:sz w:val="20"/>
          <w:szCs w:val="20"/>
        </w:rPr>
        <w:t xml:space="preserve"> Trasparente</w:t>
      </w:r>
      <w:r>
        <w:rPr>
          <w:rFonts w:ascii="Times New Roman" w:hAnsi="Times New Roman"/>
          <w:bCs/>
          <w:spacing w:val="1"/>
          <w:sz w:val="20"/>
          <w:szCs w:val="20"/>
        </w:rPr>
        <w:t xml:space="preserve">”. </w:t>
      </w:r>
      <w:r w:rsidRPr="00BE69D2">
        <w:rPr>
          <w:rFonts w:ascii="Times New Roman" w:hAnsi="Times New Roman"/>
          <w:bCs/>
          <w:spacing w:val="1"/>
          <w:sz w:val="20"/>
          <w:szCs w:val="20"/>
        </w:rPr>
        <w:t>In osservanza alle suddette Linee Guida</w:t>
      </w:r>
      <w:r w:rsidR="00BE69D2" w:rsidRPr="00BE69D2">
        <w:rPr>
          <w:rFonts w:ascii="Times New Roman" w:hAnsi="Times New Roman"/>
          <w:bCs/>
          <w:spacing w:val="1"/>
          <w:sz w:val="20"/>
          <w:szCs w:val="20"/>
        </w:rPr>
        <w:t xml:space="preserve"> si individua </w:t>
      </w:r>
      <w:r w:rsidRPr="00BE69D2">
        <w:rPr>
          <w:rFonts w:ascii="Times New Roman" w:hAnsi="Times New Roman"/>
          <w:bCs/>
          <w:spacing w:val="1"/>
          <w:sz w:val="20"/>
          <w:szCs w:val="20"/>
        </w:rPr>
        <w:t>nell’Organismo di vigilanza l’organo deputato a svolgere tali compiti.</w:t>
      </w:r>
    </w:p>
    <w:p w14:paraId="6453A648" w14:textId="77777777" w:rsidR="00603F3F" w:rsidRPr="00CD7FBE" w:rsidRDefault="00603F3F" w:rsidP="00603F3F">
      <w:pPr>
        <w:widowControl w:val="0"/>
        <w:spacing w:after="0"/>
        <w:jc w:val="both"/>
        <w:rPr>
          <w:rFonts w:ascii="Times New Roman" w:hAnsi="Times New Roman"/>
          <w:spacing w:val="1"/>
          <w:sz w:val="20"/>
          <w:szCs w:val="20"/>
        </w:rPr>
      </w:pPr>
    </w:p>
    <w:p w14:paraId="781F04E0" w14:textId="77777777" w:rsidR="00603F3F" w:rsidRPr="00FB1545" w:rsidRDefault="00603F3F" w:rsidP="003E3269">
      <w:pPr>
        <w:pStyle w:val="Titolo3"/>
        <w:keepNext w:val="0"/>
        <w:widowControl w:val="0"/>
        <w:numPr>
          <w:ilvl w:val="1"/>
          <w:numId w:val="31"/>
        </w:numPr>
        <w:spacing w:line="276" w:lineRule="auto"/>
        <w:ind w:left="567" w:hanging="567"/>
        <w:contextualSpacing w:val="0"/>
        <w:jc w:val="both"/>
      </w:pPr>
      <w:bookmarkStart w:id="868" w:name="_Toc499883567"/>
      <w:bookmarkStart w:id="869" w:name="_Toc499883783"/>
      <w:bookmarkStart w:id="870" w:name="_Toc499883974"/>
      <w:bookmarkStart w:id="871" w:name="_Toc499884164"/>
      <w:bookmarkStart w:id="872" w:name="_Toc500232411"/>
      <w:bookmarkStart w:id="873" w:name="_Toc499883568"/>
      <w:bookmarkStart w:id="874" w:name="_Toc499883784"/>
      <w:bookmarkStart w:id="875" w:name="_Toc499883975"/>
      <w:bookmarkStart w:id="876" w:name="_Toc499884165"/>
      <w:bookmarkStart w:id="877" w:name="_Toc500232412"/>
      <w:bookmarkStart w:id="878" w:name="_Toc418505960"/>
      <w:bookmarkStart w:id="879" w:name="_Toc454796259"/>
      <w:bookmarkStart w:id="880" w:name="_Toc454796321"/>
      <w:bookmarkStart w:id="881" w:name="_Toc471996562"/>
      <w:bookmarkStart w:id="882" w:name="_Toc473547441"/>
      <w:bookmarkStart w:id="883" w:name="_Toc535854486"/>
      <w:bookmarkEnd w:id="868"/>
      <w:bookmarkEnd w:id="869"/>
      <w:bookmarkEnd w:id="870"/>
      <w:bookmarkEnd w:id="871"/>
      <w:bookmarkEnd w:id="872"/>
      <w:bookmarkEnd w:id="873"/>
      <w:bookmarkEnd w:id="874"/>
      <w:bookmarkEnd w:id="875"/>
      <w:bookmarkEnd w:id="876"/>
      <w:bookmarkEnd w:id="877"/>
      <w:r w:rsidRPr="00FB1545">
        <w:t>l sistema delle sanzioni</w:t>
      </w:r>
      <w:bookmarkEnd w:id="878"/>
      <w:bookmarkEnd w:id="879"/>
      <w:bookmarkEnd w:id="880"/>
      <w:bookmarkEnd w:id="881"/>
      <w:bookmarkEnd w:id="882"/>
      <w:bookmarkEnd w:id="883"/>
    </w:p>
    <w:p w14:paraId="0BE276C3" w14:textId="406F68AF" w:rsidR="00603F3F" w:rsidRPr="00CD7FBE" w:rsidRDefault="00603F3F" w:rsidP="00603F3F">
      <w:pPr>
        <w:widowControl w:val="0"/>
        <w:spacing w:after="0"/>
        <w:jc w:val="both"/>
        <w:rPr>
          <w:rFonts w:ascii="Times New Roman" w:hAnsi="Times New Roman"/>
          <w:spacing w:val="-3"/>
          <w:sz w:val="20"/>
          <w:szCs w:val="20"/>
        </w:rPr>
      </w:pPr>
      <w:r w:rsidRPr="00CD7FBE">
        <w:rPr>
          <w:rFonts w:ascii="Times New Roman" w:hAnsi="Times New Roman"/>
          <w:spacing w:val="-3"/>
          <w:sz w:val="20"/>
          <w:szCs w:val="20"/>
        </w:rPr>
        <w:t>L'inadempimento degli obblighi di pubblicazione previsti dalla normativa vigente costituisce elemento di valutazione della responsabilità dirigenziale, eventuale causa di responsabil</w:t>
      </w:r>
      <w:r>
        <w:rPr>
          <w:rFonts w:ascii="Times New Roman" w:hAnsi="Times New Roman"/>
          <w:spacing w:val="-3"/>
          <w:sz w:val="20"/>
          <w:szCs w:val="20"/>
        </w:rPr>
        <w:t xml:space="preserve">ità per danno all'immagine della società </w:t>
      </w:r>
      <w:r w:rsidRPr="00CD7FBE">
        <w:rPr>
          <w:rFonts w:ascii="Times New Roman" w:hAnsi="Times New Roman"/>
          <w:spacing w:val="-3"/>
          <w:sz w:val="20"/>
          <w:szCs w:val="20"/>
        </w:rPr>
        <w:t xml:space="preserve">ed è comunque valutato ai fini della corresponsione della retribuzione di risultato e del trattamento accessorio collegato alla performance individuale dei responsabili. A tal fine il sistema di valutazione della performance prevede apposito articolo di coordinamento e recepimento dei risultati del processo di controllo previsti dal presente Programma. Si rappresenta che, in caso di inadempimento, la </w:t>
      </w:r>
      <w:r>
        <w:rPr>
          <w:rFonts w:ascii="Times New Roman" w:hAnsi="Times New Roman"/>
          <w:spacing w:val="-3"/>
          <w:sz w:val="20"/>
          <w:szCs w:val="20"/>
        </w:rPr>
        <w:t>società</w:t>
      </w:r>
      <w:r w:rsidRPr="00CD7FBE">
        <w:rPr>
          <w:rFonts w:ascii="Times New Roman" w:hAnsi="Times New Roman"/>
          <w:spacing w:val="-3"/>
          <w:sz w:val="20"/>
          <w:szCs w:val="20"/>
        </w:rPr>
        <w:t xml:space="preserve"> applicherà le sanzioni previste dal </w:t>
      </w:r>
      <w:r>
        <w:rPr>
          <w:rFonts w:ascii="Times New Roman" w:hAnsi="Times New Roman"/>
          <w:spacing w:val="-3"/>
          <w:sz w:val="20"/>
          <w:szCs w:val="20"/>
        </w:rPr>
        <w:t>D. Lgs</w:t>
      </w:r>
      <w:r w:rsidRPr="00CD7FBE">
        <w:rPr>
          <w:rFonts w:ascii="Times New Roman" w:hAnsi="Times New Roman"/>
          <w:spacing w:val="-3"/>
          <w:sz w:val="20"/>
          <w:szCs w:val="20"/>
        </w:rPr>
        <w:t>. 33/2013.</w:t>
      </w:r>
      <w:r>
        <w:rPr>
          <w:rFonts w:ascii="Times New Roman" w:hAnsi="Times New Roman"/>
          <w:spacing w:val="-3"/>
          <w:sz w:val="20"/>
          <w:szCs w:val="20"/>
        </w:rPr>
        <w:t xml:space="preserve"> </w:t>
      </w:r>
      <w:r w:rsidRPr="00CD7FBE">
        <w:rPr>
          <w:rFonts w:ascii="Times New Roman" w:hAnsi="Times New Roman"/>
          <w:spacing w:val="-3"/>
          <w:sz w:val="20"/>
          <w:szCs w:val="20"/>
        </w:rPr>
        <w:t>Si specifica, inoltre, che</w:t>
      </w:r>
      <w:r>
        <w:rPr>
          <w:rFonts w:ascii="Times New Roman" w:hAnsi="Times New Roman"/>
          <w:spacing w:val="-3"/>
          <w:sz w:val="20"/>
          <w:szCs w:val="20"/>
        </w:rPr>
        <w:t xml:space="preserve"> la</w:t>
      </w:r>
      <w:r w:rsidRPr="00CD7FBE">
        <w:rPr>
          <w:rFonts w:ascii="Times New Roman" w:hAnsi="Times New Roman"/>
          <w:spacing w:val="-3"/>
          <w:sz w:val="20"/>
          <w:szCs w:val="20"/>
        </w:rPr>
        <w:t xml:space="preserve"> </w:t>
      </w:r>
      <w:r>
        <w:rPr>
          <w:rFonts w:ascii="Times New Roman" w:hAnsi="Times New Roman"/>
          <w:spacing w:val="-3"/>
          <w:sz w:val="20"/>
          <w:szCs w:val="20"/>
        </w:rPr>
        <w:t>società</w:t>
      </w:r>
      <w:r w:rsidRPr="00CD7FBE">
        <w:rPr>
          <w:rFonts w:ascii="Times New Roman" w:hAnsi="Times New Roman"/>
          <w:spacing w:val="-3"/>
          <w:sz w:val="20"/>
          <w:szCs w:val="20"/>
        </w:rPr>
        <w:t xml:space="preserve"> ha approvato il </w:t>
      </w:r>
      <w:r w:rsidRPr="0052364D">
        <w:rPr>
          <w:rFonts w:ascii="Times New Roman" w:hAnsi="Times New Roman"/>
          <w:spacing w:val="-3"/>
          <w:sz w:val="20"/>
          <w:szCs w:val="20"/>
        </w:rPr>
        <w:t>Regolamento sul procedimento sanzionatorio per violazione degli obblighi sulla trasparenza predisposto in conformità alle disposizioni di cui al “</w:t>
      </w:r>
      <w:r w:rsidRPr="0052364D">
        <w:rPr>
          <w:rFonts w:ascii="Times New Roman" w:hAnsi="Times New Roman"/>
          <w:i/>
          <w:spacing w:val="-3"/>
          <w:sz w:val="20"/>
          <w:szCs w:val="20"/>
        </w:rPr>
        <w:t>Regolamento in materia di esercizio del potere sanzionatorio ai sensi dell’art. 47 del decreto legislativo 14 marzo 2013, n. 33, come modificato dal decreto legislativo 25 maggio 2016, n. 97</w:t>
      </w:r>
      <w:r w:rsidRPr="0052364D">
        <w:rPr>
          <w:rFonts w:ascii="Times New Roman" w:hAnsi="Times New Roman"/>
          <w:spacing w:val="-3"/>
          <w:sz w:val="20"/>
          <w:szCs w:val="20"/>
        </w:rPr>
        <w:t>” pubblicato dall’ANAC in data 23/11/2016 e alle disposizioni di cui alla Delibera n. 10/2015 dell’ANAC.</w:t>
      </w:r>
    </w:p>
    <w:p w14:paraId="09F2D329" w14:textId="77777777" w:rsidR="00603F3F" w:rsidRPr="00CD7FBE" w:rsidRDefault="00603F3F" w:rsidP="00603F3F">
      <w:pPr>
        <w:widowControl w:val="0"/>
        <w:spacing w:after="0"/>
        <w:rPr>
          <w:rFonts w:ascii="Times New Roman" w:hAnsi="Times New Roman"/>
          <w:noProof/>
          <w:szCs w:val="20"/>
        </w:rPr>
      </w:pPr>
      <w:bookmarkStart w:id="884" w:name="_Toc418505961"/>
    </w:p>
    <w:p w14:paraId="439B87D6" w14:textId="77777777" w:rsidR="00603F3F" w:rsidRPr="00FB1545" w:rsidRDefault="00603F3F" w:rsidP="003E3269">
      <w:pPr>
        <w:pStyle w:val="Titolo3"/>
        <w:keepNext w:val="0"/>
        <w:widowControl w:val="0"/>
        <w:numPr>
          <w:ilvl w:val="1"/>
          <w:numId w:val="31"/>
        </w:numPr>
        <w:spacing w:line="276" w:lineRule="auto"/>
        <w:ind w:left="567" w:hanging="567"/>
        <w:contextualSpacing w:val="0"/>
      </w:pPr>
      <w:bookmarkStart w:id="885" w:name="_Toc454796260"/>
      <w:bookmarkStart w:id="886" w:name="_Toc454796322"/>
      <w:bookmarkStart w:id="887" w:name="_Toc471996563"/>
      <w:bookmarkStart w:id="888" w:name="_Toc473547442"/>
      <w:bookmarkStart w:id="889" w:name="_Toc535854487"/>
      <w:r w:rsidRPr="00FB1545">
        <w:t>I siti web aziendali</w:t>
      </w:r>
      <w:bookmarkEnd w:id="884"/>
      <w:bookmarkEnd w:id="885"/>
      <w:bookmarkEnd w:id="886"/>
      <w:bookmarkEnd w:id="887"/>
      <w:bookmarkEnd w:id="888"/>
      <w:bookmarkEnd w:id="889"/>
    </w:p>
    <w:p w14:paraId="40B70292" w14:textId="7CE14DEF" w:rsidR="00603F3F" w:rsidRDefault="00603F3F" w:rsidP="00603F3F">
      <w:pPr>
        <w:widowControl w:val="0"/>
        <w:spacing w:after="0"/>
        <w:jc w:val="both"/>
        <w:rPr>
          <w:rFonts w:ascii="Times New Roman" w:hAnsi="Times New Roman"/>
          <w:spacing w:val="1"/>
          <w:sz w:val="20"/>
          <w:szCs w:val="20"/>
        </w:rPr>
      </w:pPr>
      <w:r w:rsidRPr="00803279">
        <w:rPr>
          <w:rFonts w:ascii="Times New Roman" w:hAnsi="Times New Roman"/>
          <w:spacing w:val="8"/>
          <w:sz w:val="20"/>
          <w:szCs w:val="20"/>
        </w:rPr>
        <w:t>Al fine di dare attuazione alla disciplina della trasparenza</w:t>
      </w:r>
      <w:r>
        <w:rPr>
          <w:rFonts w:ascii="Times New Roman" w:hAnsi="Times New Roman"/>
          <w:spacing w:val="8"/>
          <w:sz w:val="20"/>
          <w:szCs w:val="20"/>
        </w:rPr>
        <w:t xml:space="preserve"> è stata creata, nel</w:t>
      </w:r>
      <w:r w:rsidRPr="00803279">
        <w:rPr>
          <w:rFonts w:ascii="Times New Roman" w:hAnsi="Times New Roman"/>
          <w:spacing w:val="8"/>
          <w:sz w:val="20"/>
          <w:szCs w:val="20"/>
        </w:rPr>
        <w:t xml:space="preserve"> sito istituzionale </w:t>
      </w:r>
      <w:r>
        <w:rPr>
          <w:rFonts w:ascii="Times New Roman" w:hAnsi="Times New Roman"/>
          <w:spacing w:val="8"/>
          <w:sz w:val="20"/>
          <w:szCs w:val="20"/>
        </w:rPr>
        <w:t xml:space="preserve">della società </w:t>
      </w:r>
      <w:r w:rsidRPr="00803279">
        <w:rPr>
          <w:rFonts w:ascii="Times New Roman" w:hAnsi="Times New Roman"/>
          <w:spacing w:val="-3"/>
          <w:sz w:val="20"/>
          <w:szCs w:val="20"/>
        </w:rPr>
        <w:t xml:space="preserve">un’apposita sezione denominata </w:t>
      </w:r>
      <w:r>
        <w:rPr>
          <w:rFonts w:ascii="Times New Roman" w:hAnsi="Times New Roman"/>
          <w:spacing w:val="-3"/>
          <w:sz w:val="20"/>
          <w:szCs w:val="20"/>
        </w:rPr>
        <w:t>“</w:t>
      </w:r>
      <w:r>
        <w:rPr>
          <w:rFonts w:ascii="Times New Roman" w:hAnsi="Times New Roman"/>
          <w:bCs/>
          <w:spacing w:val="-3"/>
          <w:w w:val="105"/>
          <w:sz w:val="20"/>
          <w:szCs w:val="20"/>
        </w:rPr>
        <w:t>società</w:t>
      </w:r>
      <w:r w:rsidRPr="00803279">
        <w:rPr>
          <w:rFonts w:ascii="Times New Roman" w:hAnsi="Times New Roman"/>
          <w:bCs/>
          <w:spacing w:val="-3"/>
          <w:w w:val="105"/>
          <w:sz w:val="20"/>
          <w:szCs w:val="20"/>
        </w:rPr>
        <w:t xml:space="preserve"> Trasparente</w:t>
      </w:r>
      <w:r>
        <w:rPr>
          <w:rFonts w:ascii="Times New Roman" w:hAnsi="Times New Roman"/>
          <w:bCs/>
          <w:spacing w:val="-3"/>
          <w:w w:val="105"/>
          <w:sz w:val="20"/>
          <w:szCs w:val="20"/>
        </w:rPr>
        <w:t>”</w:t>
      </w:r>
      <w:r>
        <w:rPr>
          <w:rFonts w:ascii="Times New Roman" w:hAnsi="Times New Roman"/>
          <w:spacing w:val="-3"/>
          <w:sz w:val="20"/>
          <w:szCs w:val="20"/>
        </w:rPr>
        <w:t xml:space="preserve"> </w:t>
      </w:r>
      <w:r>
        <w:rPr>
          <w:rFonts w:ascii="Times New Roman" w:hAnsi="Times New Roman"/>
          <w:spacing w:val="1"/>
          <w:sz w:val="20"/>
          <w:szCs w:val="20"/>
        </w:rPr>
        <w:t>all’indirizzo</w:t>
      </w:r>
      <w:r w:rsidRPr="00AD536A">
        <w:rPr>
          <w:rFonts w:ascii="Times New Roman" w:hAnsi="Times New Roman"/>
          <w:spacing w:val="1"/>
          <w:sz w:val="20"/>
          <w:szCs w:val="20"/>
        </w:rPr>
        <w:t xml:space="preserve"> </w:t>
      </w:r>
      <w:r>
        <w:rPr>
          <w:rFonts w:ascii="Times New Roman" w:hAnsi="Times New Roman"/>
          <w:spacing w:val="1"/>
          <w:sz w:val="20"/>
          <w:szCs w:val="20"/>
        </w:rPr>
        <w:t>web:</w:t>
      </w:r>
    </w:p>
    <w:p w14:paraId="47EA6F1C" w14:textId="703198CD" w:rsidR="00603F3F" w:rsidRPr="0057039B" w:rsidRDefault="00483705" w:rsidP="00603F3F">
      <w:pPr>
        <w:widowControl w:val="0"/>
        <w:spacing w:after="0"/>
        <w:jc w:val="both"/>
        <w:rPr>
          <w:rFonts w:ascii="Times New Roman" w:hAnsi="Times New Roman"/>
          <w:spacing w:val="-3"/>
          <w:sz w:val="20"/>
          <w:szCs w:val="20"/>
        </w:rPr>
      </w:pPr>
      <w:hyperlink w:history="1">
        <w:r w:rsidR="001E7CB7" w:rsidRPr="0057039B">
          <w:rPr>
            <w:rStyle w:val="Collegamentoipertestuale"/>
            <w:rFonts w:ascii="Times New Roman" w:hAnsi="Times New Roman"/>
            <w:spacing w:val="-3"/>
            <w:sz w:val="20"/>
            <w:szCs w:val="20"/>
          </w:rPr>
          <w:t>http://www.multiservizi /amministrazione-trasparente/</w:t>
        </w:r>
      </w:hyperlink>
      <w:r w:rsidR="00603F3F" w:rsidRPr="0057039B">
        <w:rPr>
          <w:rFonts w:ascii="Times New Roman" w:hAnsi="Times New Roman"/>
          <w:spacing w:val="-3"/>
          <w:sz w:val="20"/>
          <w:szCs w:val="20"/>
        </w:rPr>
        <w:t xml:space="preserve">. </w:t>
      </w:r>
    </w:p>
    <w:p w14:paraId="4C902C62" w14:textId="4F82BFB1" w:rsidR="00603F3F" w:rsidRPr="0057039B" w:rsidRDefault="00603F3F" w:rsidP="00603F3F">
      <w:pPr>
        <w:widowControl w:val="0"/>
        <w:spacing w:after="0"/>
        <w:jc w:val="both"/>
        <w:rPr>
          <w:rFonts w:ascii="Times New Roman" w:hAnsi="Times New Roman"/>
          <w:spacing w:val="1"/>
          <w:sz w:val="20"/>
          <w:szCs w:val="20"/>
        </w:rPr>
      </w:pPr>
      <w:r w:rsidRPr="0057039B">
        <w:rPr>
          <w:rFonts w:ascii="Times New Roman" w:hAnsi="Times New Roman"/>
          <w:spacing w:val="1"/>
          <w:sz w:val="20"/>
          <w:szCs w:val="20"/>
        </w:rPr>
        <w:t>All’interno di tale sezione, organizzati in</w:t>
      </w:r>
      <w:r w:rsidRPr="0057039B">
        <w:rPr>
          <w:rFonts w:ascii="Times New Roman" w:hAnsi="Times New Roman"/>
          <w:b/>
          <w:bCs/>
          <w:spacing w:val="1"/>
          <w:w w:val="105"/>
          <w:sz w:val="20"/>
          <w:szCs w:val="20"/>
        </w:rPr>
        <w:t xml:space="preserve"> </w:t>
      </w:r>
      <w:r w:rsidRPr="0057039B">
        <w:rPr>
          <w:rFonts w:ascii="Times New Roman" w:hAnsi="Times New Roman"/>
          <w:bCs/>
          <w:spacing w:val="1"/>
          <w:w w:val="105"/>
          <w:sz w:val="20"/>
          <w:szCs w:val="20"/>
        </w:rPr>
        <w:t>sotto-sezioni</w:t>
      </w:r>
      <w:r w:rsidRPr="0057039B">
        <w:rPr>
          <w:rFonts w:ascii="Times New Roman" w:hAnsi="Times New Roman"/>
          <w:spacing w:val="1"/>
          <w:sz w:val="20"/>
          <w:szCs w:val="20"/>
        </w:rPr>
        <w:t xml:space="preserve">, sono contenuti tutti i dati, informazioni e documenti previsti dal D. Lgs. 33/2013 e ss.mm. e ii. e dal presente piano. </w:t>
      </w:r>
      <w:r w:rsidRPr="0057039B">
        <w:rPr>
          <w:rFonts w:ascii="Times New Roman" w:hAnsi="Times New Roman"/>
          <w:spacing w:val="8"/>
          <w:sz w:val="20"/>
          <w:szCs w:val="20"/>
        </w:rPr>
        <w:t xml:space="preserve">La sezione è accessibile anche direttamente dalla </w:t>
      </w:r>
      <w:r w:rsidRPr="0057039B">
        <w:rPr>
          <w:rFonts w:ascii="Times New Roman" w:hAnsi="Times New Roman"/>
          <w:i/>
          <w:spacing w:val="8"/>
          <w:sz w:val="20"/>
          <w:szCs w:val="20"/>
        </w:rPr>
        <w:t xml:space="preserve">home page. </w:t>
      </w:r>
      <w:r w:rsidRPr="0057039B">
        <w:rPr>
          <w:rFonts w:ascii="Times New Roman" w:hAnsi="Times New Roman"/>
          <w:spacing w:val="1"/>
          <w:sz w:val="20"/>
          <w:szCs w:val="20"/>
        </w:rPr>
        <w:t>Al fine di assicurare ai dipendenti una costante informazioni sulla normativa e sulle politiche aziendali in materia di prevenzione e repressione della corruzione e sugli obblighi di trasparenza e di accesso civico è stata realizzata un’apposita sezione nella intranet aziendale all’indirizzo web:</w:t>
      </w:r>
    </w:p>
    <w:p w14:paraId="520379FA" w14:textId="3A5161DF" w:rsidR="00603F3F" w:rsidRPr="00AD536A" w:rsidRDefault="00483705" w:rsidP="00603F3F">
      <w:pPr>
        <w:widowControl w:val="0"/>
        <w:spacing w:after="0"/>
        <w:jc w:val="both"/>
        <w:rPr>
          <w:spacing w:val="1"/>
        </w:rPr>
      </w:pPr>
      <w:hyperlink r:id="rId20" w:history="1">
        <w:r w:rsidR="001E7CB7" w:rsidRPr="0057039B">
          <w:rPr>
            <w:rStyle w:val="Collegamentoipertestuale"/>
            <w:rFonts w:ascii="Times New Roman" w:hAnsi="Times New Roman"/>
            <w:spacing w:val="1"/>
            <w:sz w:val="20"/>
            <w:szCs w:val="20"/>
          </w:rPr>
          <w:t>https://www.multiservizi.it/intranet/category/anticorruzione/</w:t>
        </w:r>
      </w:hyperlink>
      <w:r w:rsidR="00603F3F" w:rsidRPr="0057039B">
        <w:rPr>
          <w:spacing w:val="1"/>
        </w:rPr>
        <w:t>.</w:t>
      </w:r>
      <w:r w:rsidR="00603F3F" w:rsidRPr="00AD536A">
        <w:rPr>
          <w:spacing w:val="1"/>
        </w:rPr>
        <w:t xml:space="preserve"> </w:t>
      </w:r>
    </w:p>
    <w:p w14:paraId="6A6B4582" w14:textId="77777777" w:rsidR="00603F3F" w:rsidRPr="00CD7FBE" w:rsidRDefault="00603F3F" w:rsidP="00603F3F">
      <w:pPr>
        <w:widowControl w:val="0"/>
        <w:spacing w:after="0"/>
        <w:jc w:val="both"/>
        <w:rPr>
          <w:rFonts w:ascii="Times New Roman" w:hAnsi="Times New Roman"/>
          <w:spacing w:val="1"/>
          <w:sz w:val="20"/>
          <w:szCs w:val="20"/>
        </w:rPr>
      </w:pPr>
    </w:p>
    <w:p w14:paraId="30567654" w14:textId="77777777" w:rsidR="00603F3F" w:rsidRPr="00CD7FBE" w:rsidRDefault="00603F3F" w:rsidP="003E3269">
      <w:pPr>
        <w:pStyle w:val="Titolo3"/>
        <w:keepNext w:val="0"/>
        <w:widowControl w:val="0"/>
        <w:numPr>
          <w:ilvl w:val="1"/>
          <w:numId w:val="31"/>
        </w:numPr>
        <w:spacing w:line="276" w:lineRule="auto"/>
        <w:ind w:left="567" w:hanging="567"/>
        <w:contextualSpacing w:val="0"/>
      </w:pPr>
      <w:bookmarkStart w:id="890" w:name="_Toc499709278"/>
      <w:bookmarkStart w:id="891" w:name="_Toc499709461"/>
      <w:bookmarkStart w:id="892" w:name="_Toc499709646"/>
      <w:bookmarkStart w:id="893" w:name="_Toc499709830"/>
      <w:bookmarkStart w:id="894" w:name="_Toc499710014"/>
      <w:bookmarkStart w:id="895" w:name="_Toc499710200"/>
      <w:bookmarkStart w:id="896" w:name="_Toc499797258"/>
      <w:bookmarkStart w:id="897" w:name="_Toc499880492"/>
      <w:bookmarkStart w:id="898" w:name="_Toc499881362"/>
      <w:bookmarkStart w:id="899" w:name="_Toc499883571"/>
      <w:bookmarkStart w:id="900" w:name="_Toc499883787"/>
      <w:bookmarkStart w:id="901" w:name="_Toc499883978"/>
      <w:bookmarkStart w:id="902" w:name="_Toc499884168"/>
      <w:bookmarkStart w:id="903" w:name="_Toc500232415"/>
      <w:bookmarkStart w:id="904" w:name="_Toc499709279"/>
      <w:bookmarkStart w:id="905" w:name="_Toc499709462"/>
      <w:bookmarkStart w:id="906" w:name="_Toc499709647"/>
      <w:bookmarkStart w:id="907" w:name="_Toc499709831"/>
      <w:bookmarkStart w:id="908" w:name="_Toc499710015"/>
      <w:bookmarkStart w:id="909" w:name="_Toc499710201"/>
      <w:bookmarkStart w:id="910" w:name="_Toc499797259"/>
      <w:bookmarkStart w:id="911" w:name="_Toc499880493"/>
      <w:bookmarkStart w:id="912" w:name="_Toc499881363"/>
      <w:bookmarkStart w:id="913" w:name="_Toc499883572"/>
      <w:bookmarkStart w:id="914" w:name="_Toc499883788"/>
      <w:bookmarkStart w:id="915" w:name="_Toc499883979"/>
      <w:bookmarkStart w:id="916" w:name="_Toc499884169"/>
      <w:bookmarkStart w:id="917" w:name="_Toc500232416"/>
      <w:bookmarkStart w:id="918" w:name="_Toc499709280"/>
      <w:bookmarkStart w:id="919" w:name="_Toc499709463"/>
      <w:bookmarkStart w:id="920" w:name="_Toc499709648"/>
      <w:bookmarkStart w:id="921" w:name="_Toc499709832"/>
      <w:bookmarkStart w:id="922" w:name="_Toc499710016"/>
      <w:bookmarkStart w:id="923" w:name="_Toc499710202"/>
      <w:bookmarkStart w:id="924" w:name="_Toc499797260"/>
      <w:bookmarkStart w:id="925" w:name="_Toc499880494"/>
      <w:bookmarkStart w:id="926" w:name="_Toc499881364"/>
      <w:bookmarkStart w:id="927" w:name="_Toc499883573"/>
      <w:bookmarkStart w:id="928" w:name="_Toc499883789"/>
      <w:bookmarkStart w:id="929" w:name="_Toc499883980"/>
      <w:bookmarkStart w:id="930" w:name="_Toc499884170"/>
      <w:bookmarkStart w:id="931" w:name="_Toc500232417"/>
      <w:bookmarkStart w:id="932" w:name="_Toc499709281"/>
      <w:bookmarkStart w:id="933" w:name="_Toc499709464"/>
      <w:bookmarkStart w:id="934" w:name="_Toc499709649"/>
      <w:bookmarkStart w:id="935" w:name="_Toc499709833"/>
      <w:bookmarkStart w:id="936" w:name="_Toc499710017"/>
      <w:bookmarkStart w:id="937" w:name="_Toc499710203"/>
      <w:bookmarkStart w:id="938" w:name="_Toc499797261"/>
      <w:bookmarkStart w:id="939" w:name="_Toc499880495"/>
      <w:bookmarkStart w:id="940" w:name="_Toc499881365"/>
      <w:bookmarkStart w:id="941" w:name="_Toc499883574"/>
      <w:bookmarkStart w:id="942" w:name="_Toc499883790"/>
      <w:bookmarkStart w:id="943" w:name="_Toc499883981"/>
      <w:bookmarkStart w:id="944" w:name="_Toc499884171"/>
      <w:bookmarkStart w:id="945" w:name="_Toc500232418"/>
      <w:bookmarkStart w:id="946" w:name="_Toc499709282"/>
      <w:bookmarkStart w:id="947" w:name="_Toc499709465"/>
      <w:bookmarkStart w:id="948" w:name="_Toc499709650"/>
      <w:bookmarkStart w:id="949" w:name="_Toc499709834"/>
      <w:bookmarkStart w:id="950" w:name="_Toc499710018"/>
      <w:bookmarkStart w:id="951" w:name="_Toc499710204"/>
      <w:bookmarkStart w:id="952" w:name="_Toc499797262"/>
      <w:bookmarkStart w:id="953" w:name="_Toc499880496"/>
      <w:bookmarkStart w:id="954" w:name="_Toc499881366"/>
      <w:bookmarkStart w:id="955" w:name="_Toc499883575"/>
      <w:bookmarkStart w:id="956" w:name="_Toc499883791"/>
      <w:bookmarkStart w:id="957" w:name="_Toc499883982"/>
      <w:bookmarkStart w:id="958" w:name="_Toc499884172"/>
      <w:bookmarkStart w:id="959" w:name="_Toc500232419"/>
      <w:bookmarkStart w:id="960" w:name="_Toc499709283"/>
      <w:bookmarkStart w:id="961" w:name="_Toc499709466"/>
      <w:bookmarkStart w:id="962" w:name="_Toc499709651"/>
      <w:bookmarkStart w:id="963" w:name="_Toc499709835"/>
      <w:bookmarkStart w:id="964" w:name="_Toc499710019"/>
      <w:bookmarkStart w:id="965" w:name="_Toc499710205"/>
      <w:bookmarkStart w:id="966" w:name="_Toc499797263"/>
      <w:bookmarkStart w:id="967" w:name="_Toc499880497"/>
      <w:bookmarkStart w:id="968" w:name="_Toc499881367"/>
      <w:bookmarkStart w:id="969" w:name="_Toc499883576"/>
      <w:bookmarkStart w:id="970" w:name="_Toc499883792"/>
      <w:bookmarkStart w:id="971" w:name="_Toc499883983"/>
      <w:bookmarkStart w:id="972" w:name="_Toc499884173"/>
      <w:bookmarkStart w:id="973" w:name="_Toc500232420"/>
      <w:bookmarkStart w:id="974" w:name="_Toc499709284"/>
      <w:bookmarkStart w:id="975" w:name="_Toc499709467"/>
      <w:bookmarkStart w:id="976" w:name="_Toc499709652"/>
      <w:bookmarkStart w:id="977" w:name="_Toc499709836"/>
      <w:bookmarkStart w:id="978" w:name="_Toc499710020"/>
      <w:bookmarkStart w:id="979" w:name="_Toc499710206"/>
      <w:bookmarkStart w:id="980" w:name="_Toc499797264"/>
      <w:bookmarkStart w:id="981" w:name="_Toc499880498"/>
      <w:bookmarkStart w:id="982" w:name="_Toc499881368"/>
      <w:bookmarkStart w:id="983" w:name="_Toc499883577"/>
      <w:bookmarkStart w:id="984" w:name="_Toc499883793"/>
      <w:bookmarkStart w:id="985" w:name="_Toc499883984"/>
      <w:bookmarkStart w:id="986" w:name="_Toc499884174"/>
      <w:bookmarkStart w:id="987" w:name="_Toc500232421"/>
      <w:bookmarkStart w:id="988" w:name="_Toc499709285"/>
      <w:bookmarkStart w:id="989" w:name="_Toc499709468"/>
      <w:bookmarkStart w:id="990" w:name="_Toc499709653"/>
      <w:bookmarkStart w:id="991" w:name="_Toc499709837"/>
      <w:bookmarkStart w:id="992" w:name="_Toc499710021"/>
      <w:bookmarkStart w:id="993" w:name="_Toc499710207"/>
      <w:bookmarkStart w:id="994" w:name="_Toc499797265"/>
      <w:bookmarkStart w:id="995" w:name="_Toc499880499"/>
      <w:bookmarkStart w:id="996" w:name="_Toc499881369"/>
      <w:bookmarkStart w:id="997" w:name="_Toc499883578"/>
      <w:bookmarkStart w:id="998" w:name="_Toc499883794"/>
      <w:bookmarkStart w:id="999" w:name="_Toc499883985"/>
      <w:bookmarkStart w:id="1000" w:name="_Toc499884175"/>
      <w:bookmarkStart w:id="1001" w:name="_Toc500232422"/>
      <w:bookmarkStart w:id="1002" w:name="_Toc418505962"/>
      <w:bookmarkStart w:id="1003" w:name="_Toc454796261"/>
      <w:bookmarkStart w:id="1004" w:name="_Toc454796323"/>
      <w:bookmarkStart w:id="1005" w:name="_Toc471996564"/>
      <w:bookmarkStart w:id="1006" w:name="_Toc535854488"/>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sidRPr="00CD7FBE">
        <w:t>Le caratteristiche delle informazioni</w:t>
      </w:r>
      <w:bookmarkEnd w:id="1002"/>
      <w:bookmarkEnd w:id="1003"/>
      <w:bookmarkEnd w:id="1004"/>
      <w:bookmarkEnd w:id="1005"/>
      <w:bookmarkEnd w:id="1006"/>
    </w:p>
    <w:p w14:paraId="7F4D7DEE" w14:textId="0C3A8AD5" w:rsidR="00603F3F" w:rsidRPr="00CD7FBE" w:rsidRDefault="00603F3F" w:rsidP="00603F3F">
      <w:pPr>
        <w:widowControl w:val="0"/>
        <w:spacing w:after="0"/>
        <w:jc w:val="both"/>
        <w:rPr>
          <w:rFonts w:ascii="Times New Roman" w:hAnsi="Times New Roman"/>
          <w:sz w:val="20"/>
          <w:szCs w:val="20"/>
        </w:rPr>
      </w:pPr>
      <w:r>
        <w:rPr>
          <w:rFonts w:ascii="Times New Roman" w:hAnsi="Times New Roman"/>
          <w:spacing w:val="2"/>
          <w:sz w:val="20"/>
          <w:szCs w:val="20"/>
        </w:rPr>
        <w:t>La società</w:t>
      </w:r>
      <w:r w:rsidRPr="00CD7FBE">
        <w:rPr>
          <w:rFonts w:ascii="Times New Roman" w:hAnsi="Times New Roman"/>
          <w:spacing w:val="2"/>
          <w:sz w:val="20"/>
          <w:szCs w:val="20"/>
        </w:rPr>
        <w:t xml:space="preserve"> è tenuta ad assicurare la qualità delle informazioni riportate nel sito istituzionale nel rispetto degli obblighi di pubblicazione </w:t>
      </w:r>
      <w:r w:rsidRPr="00CD7FBE">
        <w:rPr>
          <w:rFonts w:ascii="Times New Roman" w:hAnsi="Times New Roman"/>
          <w:spacing w:val="-4"/>
          <w:sz w:val="20"/>
          <w:szCs w:val="20"/>
        </w:rPr>
        <w:t xml:space="preserve">previsti dalla legge, assicurandone l’integrità, il costante aggiornamento, la completezza, la tempestività, la semplicità di consultazione, la </w:t>
      </w:r>
      <w:r w:rsidRPr="00CD7FBE">
        <w:rPr>
          <w:rFonts w:ascii="Times New Roman" w:hAnsi="Times New Roman"/>
          <w:spacing w:val="1"/>
          <w:sz w:val="20"/>
          <w:szCs w:val="20"/>
        </w:rPr>
        <w:t xml:space="preserve">comprensibilità, l’omogeneità, la facile accessibilità, nonché la conformità ai documenti originali in possesso della </w:t>
      </w:r>
      <w:r>
        <w:rPr>
          <w:rFonts w:ascii="Times New Roman" w:hAnsi="Times New Roman"/>
          <w:spacing w:val="1"/>
          <w:sz w:val="20"/>
          <w:szCs w:val="20"/>
        </w:rPr>
        <w:t>società</w:t>
      </w:r>
      <w:r w:rsidRPr="00CD7FBE">
        <w:rPr>
          <w:rFonts w:ascii="Times New Roman" w:hAnsi="Times New Roman"/>
          <w:spacing w:val="1"/>
          <w:sz w:val="20"/>
          <w:szCs w:val="20"/>
        </w:rPr>
        <w:t xml:space="preserve">, </w:t>
      </w:r>
      <w:r w:rsidRPr="00CD7FBE">
        <w:rPr>
          <w:rFonts w:ascii="Times New Roman" w:hAnsi="Times New Roman"/>
          <w:spacing w:val="-1"/>
          <w:sz w:val="20"/>
          <w:szCs w:val="20"/>
        </w:rPr>
        <w:t>l’indicazione della loro provenienza e la riutilizzabilità</w:t>
      </w:r>
      <w:r w:rsidRPr="00CD7FBE">
        <w:rPr>
          <w:rStyle w:val="Rimandonotadichiusura"/>
          <w:rFonts w:ascii="Times New Roman" w:hAnsi="Times New Roman"/>
          <w:spacing w:val="-1"/>
          <w:sz w:val="20"/>
          <w:szCs w:val="20"/>
        </w:rPr>
        <w:endnoteReference w:id="83"/>
      </w:r>
      <w:r w:rsidRPr="00CD7FBE">
        <w:rPr>
          <w:rFonts w:ascii="Times New Roman" w:hAnsi="Times New Roman"/>
          <w:spacing w:val="-1"/>
          <w:sz w:val="20"/>
          <w:szCs w:val="20"/>
        </w:rPr>
        <w:t>.</w:t>
      </w:r>
      <w:r>
        <w:rPr>
          <w:rFonts w:ascii="Times New Roman" w:hAnsi="Times New Roman"/>
          <w:spacing w:val="-1"/>
          <w:sz w:val="20"/>
          <w:szCs w:val="20"/>
        </w:rPr>
        <w:t xml:space="preserve"> </w:t>
      </w:r>
      <w:r w:rsidRPr="00CD7FBE">
        <w:rPr>
          <w:rFonts w:ascii="Times New Roman" w:hAnsi="Times New Roman"/>
          <w:sz w:val="20"/>
          <w:szCs w:val="20"/>
        </w:rPr>
        <w:t xml:space="preserve">I </w:t>
      </w:r>
      <w:r w:rsidR="0027089A">
        <w:rPr>
          <w:rFonts w:ascii="Times New Roman" w:hAnsi="Times New Roman"/>
          <w:sz w:val="20"/>
          <w:szCs w:val="20"/>
        </w:rPr>
        <w:t>Responsabili</w:t>
      </w:r>
      <w:r w:rsidRPr="00CD7FBE">
        <w:rPr>
          <w:rFonts w:ascii="Times New Roman" w:hAnsi="Times New Roman"/>
          <w:sz w:val="20"/>
          <w:szCs w:val="20"/>
        </w:rPr>
        <w:t>, pertanto, garantiranno che i documenti e gli atti oggetto di pubblicazione obbligatoria siano pubblicati:</w:t>
      </w:r>
    </w:p>
    <w:p w14:paraId="5AE5164E"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CD7FBE">
        <w:rPr>
          <w:rFonts w:ascii="Times New Roman" w:hAnsi="Times New Roman"/>
          <w:spacing w:val="1"/>
          <w:sz w:val="20"/>
          <w:szCs w:val="20"/>
        </w:rPr>
        <w:t>-</w:t>
      </w:r>
      <w:r w:rsidRPr="00CD7FBE">
        <w:rPr>
          <w:rFonts w:ascii="Times New Roman" w:hAnsi="Times New Roman"/>
          <w:spacing w:val="1"/>
          <w:sz w:val="20"/>
          <w:szCs w:val="20"/>
        </w:rPr>
        <w:tab/>
      </w:r>
      <w:r w:rsidRPr="0070096C">
        <w:rPr>
          <w:rFonts w:ascii="Times New Roman" w:hAnsi="Times New Roman"/>
          <w:i/>
          <w:spacing w:val="1"/>
          <w:sz w:val="20"/>
          <w:szCs w:val="20"/>
        </w:rPr>
        <w:t>in forma</w:t>
      </w:r>
      <w:r w:rsidRPr="0070096C">
        <w:rPr>
          <w:rFonts w:ascii="Times New Roman" w:hAnsi="Times New Roman"/>
          <w:bCs/>
          <w:i/>
          <w:spacing w:val="1"/>
          <w:sz w:val="20"/>
          <w:szCs w:val="20"/>
        </w:rPr>
        <w:t xml:space="preserve"> chiara</w:t>
      </w:r>
      <w:r w:rsidRPr="0070096C">
        <w:rPr>
          <w:rFonts w:ascii="Times New Roman" w:hAnsi="Times New Roman"/>
          <w:i/>
          <w:spacing w:val="1"/>
          <w:sz w:val="20"/>
          <w:szCs w:val="20"/>
        </w:rPr>
        <w:t xml:space="preserve"> e</w:t>
      </w:r>
      <w:r w:rsidRPr="0070096C">
        <w:rPr>
          <w:rFonts w:ascii="Times New Roman" w:hAnsi="Times New Roman"/>
          <w:bCs/>
          <w:i/>
          <w:spacing w:val="1"/>
          <w:sz w:val="20"/>
          <w:szCs w:val="20"/>
        </w:rPr>
        <w:t xml:space="preserve"> semplice</w:t>
      </w:r>
      <w:r w:rsidRPr="0070096C">
        <w:rPr>
          <w:rFonts w:ascii="Times New Roman" w:hAnsi="Times New Roman"/>
          <w:i/>
          <w:spacing w:val="1"/>
          <w:sz w:val="20"/>
          <w:szCs w:val="20"/>
        </w:rPr>
        <w:t>, tali da essere facilmente comprensibili al soggetto che ne prende visione;</w:t>
      </w:r>
    </w:p>
    <w:p w14:paraId="219585EE"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completi</w:t>
      </w:r>
      <w:r w:rsidRPr="0070096C">
        <w:rPr>
          <w:rFonts w:ascii="Times New Roman" w:hAnsi="Times New Roman"/>
          <w:i/>
          <w:spacing w:val="1"/>
          <w:sz w:val="20"/>
          <w:szCs w:val="20"/>
        </w:rPr>
        <w:t xml:space="preserve"> nel loro contenuto e degli allegati costituenti parte integrante e sostanziale dell’atto;</w:t>
      </w:r>
    </w:p>
    <w:p w14:paraId="003FBBE7"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i/>
          <w:spacing w:val="1"/>
          <w:sz w:val="20"/>
          <w:szCs w:val="20"/>
        </w:rPr>
        <w:t>-</w:t>
      </w:r>
      <w:r w:rsidRPr="0070096C">
        <w:rPr>
          <w:rFonts w:ascii="Times New Roman" w:hAnsi="Times New Roman"/>
          <w:i/>
          <w:spacing w:val="1"/>
          <w:sz w:val="20"/>
          <w:szCs w:val="20"/>
        </w:rPr>
        <w:tab/>
        <w:t>riportino la dichiarazione/il timbro di</w:t>
      </w:r>
      <w:r w:rsidRPr="0070096C">
        <w:rPr>
          <w:rFonts w:ascii="Times New Roman" w:hAnsi="Times New Roman"/>
          <w:bCs/>
          <w:i/>
          <w:spacing w:val="1"/>
          <w:sz w:val="20"/>
          <w:szCs w:val="20"/>
        </w:rPr>
        <w:t xml:space="preserve"> conformità</w:t>
      </w:r>
      <w:r w:rsidRPr="0070096C">
        <w:rPr>
          <w:rFonts w:ascii="Times New Roman" w:hAnsi="Times New Roman"/>
          <w:i/>
          <w:spacing w:val="1"/>
          <w:sz w:val="20"/>
          <w:szCs w:val="20"/>
        </w:rPr>
        <w:t xml:space="preserve"> all’originale con la firma del Responsabile;</w:t>
      </w:r>
    </w:p>
    <w:p w14:paraId="2818487D" w14:textId="77777777" w:rsidR="00603F3F" w:rsidRPr="0070096C" w:rsidRDefault="00603F3F" w:rsidP="00603F3F">
      <w:pPr>
        <w:widowControl w:val="0"/>
        <w:spacing w:after="0"/>
        <w:ind w:left="284" w:hanging="284"/>
        <w:jc w:val="both"/>
        <w:rPr>
          <w:rFonts w:ascii="Times New Roman" w:hAnsi="Times New Roman"/>
          <w:i/>
          <w:spacing w:val="1"/>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tempestivamente</w:t>
      </w:r>
      <w:r w:rsidRPr="0070096C">
        <w:rPr>
          <w:rFonts w:ascii="Times New Roman" w:hAnsi="Times New Roman"/>
          <w:i/>
          <w:spacing w:val="1"/>
          <w:sz w:val="20"/>
          <w:szCs w:val="20"/>
        </w:rPr>
        <w:t xml:space="preserve"> e comunque non oltre 3 giorni dalla loro efficacia;</w:t>
      </w:r>
    </w:p>
    <w:p w14:paraId="46A1A666" w14:textId="77777777" w:rsidR="00603F3F" w:rsidRPr="0070096C" w:rsidRDefault="00603F3F" w:rsidP="00603F3F">
      <w:pPr>
        <w:widowControl w:val="0"/>
        <w:spacing w:after="0"/>
        <w:ind w:left="284" w:hanging="284"/>
        <w:jc w:val="both"/>
        <w:rPr>
          <w:rFonts w:ascii="Times New Roman" w:hAnsi="Times New Roman"/>
          <w:i/>
          <w:spacing w:val="4"/>
          <w:sz w:val="20"/>
          <w:szCs w:val="20"/>
        </w:rPr>
      </w:pPr>
      <w:r w:rsidRPr="0070096C">
        <w:rPr>
          <w:rFonts w:ascii="Times New Roman" w:hAnsi="Times New Roman"/>
          <w:bCs/>
          <w:i/>
          <w:spacing w:val="4"/>
          <w:sz w:val="20"/>
          <w:szCs w:val="20"/>
        </w:rPr>
        <w:t>-</w:t>
      </w:r>
      <w:r w:rsidRPr="0070096C">
        <w:rPr>
          <w:rFonts w:ascii="Times New Roman" w:hAnsi="Times New Roman"/>
          <w:bCs/>
          <w:i/>
          <w:spacing w:val="4"/>
          <w:sz w:val="20"/>
          <w:szCs w:val="20"/>
        </w:rPr>
        <w:tab/>
        <w:t>per un periodo di 5 anni</w:t>
      </w:r>
      <w:r w:rsidRPr="0070096C">
        <w:rPr>
          <w:rFonts w:ascii="Times New Roman" w:hAnsi="Times New Roman"/>
          <w:i/>
          <w:spacing w:val="4"/>
          <w:sz w:val="20"/>
          <w:szCs w:val="20"/>
        </w:rPr>
        <w:t xml:space="preserve"> </w:t>
      </w:r>
      <w:r w:rsidRPr="0070096C">
        <w:rPr>
          <w:rFonts w:ascii="Times New Roman" w:hAnsi="Times New Roman"/>
          <w:i/>
          <w:sz w:val="20"/>
          <w:szCs w:val="20"/>
        </w:rPr>
        <w:t>o diverso periodo in relazione alle specifiche determinazioni A.N.AC adottate ai sensi dell’art. 8 comma 3-bis del D. Lgs. 33/2013</w:t>
      </w:r>
      <w:r w:rsidRPr="0070096C">
        <w:rPr>
          <w:rStyle w:val="Rimandonotadichiusura"/>
          <w:rFonts w:ascii="Times New Roman" w:hAnsi="Times New Roman"/>
          <w:i/>
          <w:sz w:val="20"/>
          <w:szCs w:val="20"/>
        </w:rPr>
        <w:endnoteReference w:id="84"/>
      </w:r>
      <w:r w:rsidRPr="0070096C">
        <w:rPr>
          <w:rFonts w:ascii="Times New Roman" w:hAnsi="Times New Roman"/>
          <w:i/>
          <w:sz w:val="20"/>
          <w:szCs w:val="20"/>
        </w:rPr>
        <w:t xml:space="preserve">, </w:t>
      </w:r>
      <w:r w:rsidRPr="0070096C">
        <w:rPr>
          <w:rFonts w:ascii="Times New Roman" w:hAnsi="Times New Roman"/>
          <w:i/>
          <w:spacing w:val="4"/>
          <w:sz w:val="20"/>
          <w:szCs w:val="20"/>
        </w:rPr>
        <w:t>decorrenti dal 1° gennaio dell’anno successivo a quello da cui decorre l’obbligo di pubblicazione. Gli incarichi di collaborazione, di consulenza o di incarichi professionali, inclusi quelli arbitrali, ai sensi del comma 1 dell’art. 15-bis del D. Lgs. 33/2013</w:t>
      </w:r>
      <w:r w:rsidRPr="0070096C">
        <w:rPr>
          <w:rStyle w:val="Rimandonotadichiusura"/>
          <w:rFonts w:ascii="Times New Roman" w:hAnsi="Times New Roman"/>
          <w:i/>
          <w:spacing w:val="4"/>
          <w:sz w:val="20"/>
          <w:szCs w:val="20"/>
        </w:rPr>
        <w:endnoteReference w:id="85"/>
      </w:r>
      <w:r w:rsidRPr="0070096C">
        <w:rPr>
          <w:rFonts w:ascii="Times New Roman" w:hAnsi="Times New Roman"/>
          <w:i/>
          <w:spacing w:val="4"/>
          <w:sz w:val="20"/>
          <w:szCs w:val="20"/>
        </w:rPr>
        <w:t xml:space="preserve"> sono conservati per i due anni successivi alla loro cessazione. </w:t>
      </w:r>
      <w:r w:rsidRPr="0070096C">
        <w:rPr>
          <w:rFonts w:ascii="Times New Roman" w:hAnsi="Times New Roman"/>
          <w:i/>
          <w:spacing w:val="1"/>
          <w:sz w:val="20"/>
          <w:szCs w:val="20"/>
        </w:rPr>
        <w:t>Gli atti che producono i loro effetti oltre i suddetti periodi, andranno comunque pubblicati fino alla data di efficacia</w:t>
      </w:r>
      <w:r w:rsidRPr="0070096C">
        <w:rPr>
          <w:rFonts w:ascii="Times New Roman" w:hAnsi="Times New Roman"/>
          <w:i/>
          <w:sz w:val="20"/>
          <w:szCs w:val="20"/>
        </w:rPr>
        <w:t>.</w:t>
      </w:r>
      <w:r w:rsidRPr="0070096C">
        <w:rPr>
          <w:rFonts w:ascii="Times New Roman" w:eastAsia="Times New Roman" w:hAnsi="Times New Roman"/>
          <w:bCs/>
          <w:i/>
          <w:iCs/>
          <w:lang w:eastAsia="it-IT"/>
        </w:rPr>
        <w:t xml:space="preserve"> </w:t>
      </w:r>
      <w:r w:rsidRPr="0070096C">
        <w:rPr>
          <w:rFonts w:ascii="Times New Roman" w:eastAsia="Times New Roman" w:hAnsi="Times New Roman"/>
          <w:bCs/>
          <w:i/>
          <w:iCs/>
          <w:sz w:val="20"/>
          <w:szCs w:val="20"/>
          <w:lang w:eastAsia="it-IT"/>
        </w:rPr>
        <w:t>Decorsi detti termini, i relativi dati e documenti sono accessibili ai sensi dell'articolo 5 del D. Lgs. 33/2013 (Accesso civico a dati e documenti)</w:t>
      </w:r>
      <w:r w:rsidRPr="0070096C">
        <w:rPr>
          <w:rStyle w:val="Rimandonotadichiusura"/>
          <w:rFonts w:ascii="Times New Roman" w:eastAsia="Times New Roman" w:hAnsi="Times New Roman"/>
          <w:bCs/>
          <w:i/>
          <w:iCs/>
          <w:sz w:val="20"/>
          <w:szCs w:val="20"/>
          <w:lang w:eastAsia="it-IT"/>
        </w:rPr>
        <w:endnoteReference w:id="86"/>
      </w:r>
      <w:r w:rsidRPr="0070096C">
        <w:rPr>
          <w:rFonts w:ascii="Times New Roman" w:eastAsia="Times New Roman" w:hAnsi="Times New Roman"/>
          <w:bCs/>
          <w:i/>
          <w:iCs/>
          <w:sz w:val="20"/>
          <w:szCs w:val="20"/>
          <w:lang w:eastAsia="it-IT"/>
        </w:rPr>
        <w:t>;</w:t>
      </w:r>
    </w:p>
    <w:p w14:paraId="427967C1" w14:textId="385BD0E3"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bCs/>
          <w:i/>
          <w:spacing w:val="1"/>
          <w:sz w:val="20"/>
          <w:szCs w:val="20"/>
        </w:rPr>
        <w:t>-</w:t>
      </w:r>
      <w:r w:rsidRPr="0070096C">
        <w:rPr>
          <w:rFonts w:ascii="Times New Roman" w:hAnsi="Times New Roman"/>
          <w:bCs/>
          <w:i/>
          <w:spacing w:val="1"/>
          <w:sz w:val="20"/>
          <w:szCs w:val="20"/>
        </w:rPr>
        <w:tab/>
        <w:t>in formato di tipo aperto</w:t>
      </w:r>
      <w:r w:rsidRPr="0070096C">
        <w:rPr>
          <w:rFonts w:ascii="Times New Roman" w:hAnsi="Times New Roman"/>
          <w:i/>
          <w:spacing w:val="1"/>
          <w:sz w:val="20"/>
          <w:szCs w:val="20"/>
        </w:rPr>
        <w:t xml:space="preserve"> ai sensi dell’articolo 68 del Codice dell’Amministrazione digitale, di cui al D. Lgs. 82/2005</w:t>
      </w:r>
      <w:r w:rsidRPr="0070096C">
        <w:rPr>
          <w:rStyle w:val="Rimandonotadichiusura"/>
          <w:rFonts w:ascii="Times New Roman" w:hAnsi="Times New Roman"/>
          <w:i/>
          <w:spacing w:val="1"/>
          <w:sz w:val="20"/>
          <w:szCs w:val="20"/>
        </w:rPr>
        <w:endnoteReference w:id="87"/>
      </w:r>
      <w:r w:rsidRPr="0070096C">
        <w:rPr>
          <w:rFonts w:ascii="Times New Roman" w:hAnsi="Times New Roman"/>
          <w:i/>
          <w:spacing w:val="1"/>
          <w:sz w:val="20"/>
          <w:szCs w:val="20"/>
        </w:rPr>
        <w:t xml:space="preserve"> e saranno </w:t>
      </w:r>
      <w:r w:rsidRPr="0070096C">
        <w:rPr>
          <w:rFonts w:ascii="Times New Roman" w:hAnsi="Times New Roman"/>
          <w:bCs/>
          <w:i/>
          <w:sz w:val="20"/>
          <w:szCs w:val="20"/>
        </w:rPr>
        <w:t>riutilizzabili</w:t>
      </w:r>
      <w:r w:rsidRPr="0070096C">
        <w:rPr>
          <w:rFonts w:ascii="Times New Roman" w:hAnsi="Times New Roman"/>
          <w:i/>
          <w:sz w:val="20"/>
          <w:szCs w:val="20"/>
        </w:rPr>
        <w:t xml:space="preserve"> ai sensi del D. Lgs.</w:t>
      </w:r>
      <w:bookmarkStart w:id="1007" w:name="_Toc473547444"/>
      <w:r w:rsidRPr="0070096C">
        <w:rPr>
          <w:rFonts w:ascii="Times New Roman" w:hAnsi="Times New Roman"/>
          <w:i/>
          <w:sz w:val="20"/>
          <w:szCs w:val="20"/>
        </w:rPr>
        <w:t xml:space="preserve"> 196/2003 “Codice in materia di protezione dei dati personali” così come integrato con le modifiche introdotte dal d.lgs. 10 agosto 2018, n. 101, recante “Disposizioni per l'adeguamento della normativa nazionale alle disposizioni del 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senza ulteriori restrizioni diverse dall’obbligo di citare la fonte e di rispettarne l’integrità.</w:t>
      </w:r>
      <w:r w:rsidRPr="0070096C">
        <w:rPr>
          <w:rStyle w:val="Rimandonotadichiusura"/>
          <w:rFonts w:ascii="Times New Roman" w:hAnsi="Times New Roman"/>
          <w:i/>
          <w:sz w:val="20"/>
          <w:szCs w:val="20"/>
        </w:rPr>
        <w:endnoteReference w:id="88"/>
      </w:r>
    </w:p>
    <w:p w14:paraId="55D3CB03" w14:textId="77777777" w:rsidR="00603F3F" w:rsidRPr="0070096C" w:rsidRDefault="00603F3F" w:rsidP="00603F3F">
      <w:pPr>
        <w:widowControl w:val="0"/>
        <w:spacing w:after="0"/>
        <w:jc w:val="both"/>
        <w:rPr>
          <w:rFonts w:ascii="Times New Roman" w:hAnsi="Times New Roman"/>
          <w:i/>
          <w:sz w:val="20"/>
          <w:szCs w:val="20"/>
        </w:rPr>
      </w:pPr>
    </w:p>
    <w:p w14:paraId="39201F56" w14:textId="77777777" w:rsidR="00603F3F" w:rsidRPr="0027089A" w:rsidRDefault="00603F3F" w:rsidP="00603F3F">
      <w:pPr>
        <w:pStyle w:val="Titolo2"/>
        <w:keepNext w:val="0"/>
        <w:spacing w:line="276" w:lineRule="auto"/>
        <w:ind w:left="426" w:hanging="426"/>
        <w:rPr>
          <w:color w:val="0070C0"/>
        </w:rPr>
      </w:pPr>
      <w:bookmarkStart w:id="1008" w:name="_Toc499709289"/>
      <w:bookmarkStart w:id="1009" w:name="_Toc499709472"/>
      <w:bookmarkStart w:id="1010" w:name="_Toc499709657"/>
      <w:bookmarkStart w:id="1011" w:name="_Toc499709841"/>
      <w:bookmarkStart w:id="1012" w:name="_Toc499710025"/>
      <w:bookmarkStart w:id="1013" w:name="_Toc499710211"/>
      <w:bookmarkStart w:id="1014" w:name="_Toc499797269"/>
      <w:bookmarkStart w:id="1015" w:name="_Toc499709290"/>
      <w:bookmarkStart w:id="1016" w:name="_Toc499709473"/>
      <w:bookmarkStart w:id="1017" w:name="_Toc499709658"/>
      <w:bookmarkStart w:id="1018" w:name="_Toc499709842"/>
      <w:bookmarkStart w:id="1019" w:name="_Toc499710026"/>
      <w:bookmarkStart w:id="1020" w:name="_Toc499710212"/>
      <w:bookmarkStart w:id="1021" w:name="_Toc499797270"/>
      <w:bookmarkStart w:id="1022" w:name="_Toc499880506"/>
      <w:bookmarkStart w:id="1023" w:name="_Toc499881371"/>
      <w:bookmarkStart w:id="1024" w:name="_Toc499883580"/>
      <w:bookmarkStart w:id="1025" w:name="_Toc499883796"/>
      <w:bookmarkStart w:id="1026" w:name="_Toc499883987"/>
      <w:bookmarkStart w:id="1027" w:name="_Toc499884177"/>
      <w:bookmarkStart w:id="1028" w:name="_Toc500232424"/>
      <w:bookmarkStart w:id="1029" w:name="_Toc499709291"/>
      <w:bookmarkStart w:id="1030" w:name="_Toc499709474"/>
      <w:bookmarkStart w:id="1031" w:name="_Toc499709659"/>
      <w:bookmarkStart w:id="1032" w:name="_Toc499709843"/>
      <w:bookmarkStart w:id="1033" w:name="_Toc499710027"/>
      <w:bookmarkStart w:id="1034" w:name="_Toc499710213"/>
      <w:bookmarkStart w:id="1035" w:name="_Toc499797271"/>
      <w:bookmarkStart w:id="1036" w:name="_Toc499880507"/>
      <w:bookmarkStart w:id="1037" w:name="_Toc499881372"/>
      <w:bookmarkStart w:id="1038" w:name="_Toc499883581"/>
      <w:bookmarkStart w:id="1039" w:name="_Toc499883797"/>
      <w:bookmarkStart w:id="1040" w:name="_Toc499883988"/>
      <w:bookmarkStart w:id="1041" w:name="_Toc499884178"/>
      <w:bookmarkStart w:id="1042" w:name="_Toc500232425"/>
      <w:bookmarkStart w:id="1043" w:name="_Toc499709292"/>
      <w:bookmarkStart w:id="1044" w:name="_Toc499709475"/>
      <w:bookmarkStart w:id="1045" w:name="_Toc499709660"/>
      <w:bookmarkStart w:id="1046" w:name="_Toc499709844"/>
      <w:bookmarkStart w:id="1047" w:name="_Toc499710028"/>
      <w:bookmarkStart w:id="1048" w:name="_Toc499710214"/>
      <w:bookmarkStart w:id="1049" w:name="_Toc499797272"/>
      <w:bookmarkStart w:id="1050" w:name="_Toc499880508"/>
      <w:bookmarkStart w:id="1051" w:name="_Toc499881373"/>
      <w:bookmarkStart w:id="1052" w:name="_Toc499883582"/>
      <w:bookmarkStart w:id="1053" w:name="_Toc499883798"/>
      <w:bookmarkStart w:id="1054" w:name="_Toc499883989"/>
      <w:bookmarkStart w:id="1055" w:name="_Toc499884179"/>
      <w:bookmarkStart w:id="1056" w:name="_Toc500232426"/>
      <w:bookmarkStart w:id="1057" w:name="_Toc499709293"/>
      <w:bookmarkStart w:id="1058" w:name="_Toc499709476"/>
      <w:bookmarkStart w:id="1059" w:name="_Toc499709661"/>
      <w:bookmarkStart w:id="1060" w:name="_Toc499709845"/>
      <w:bookmarkStart w:id="1061" w:name="_Toc499710029"/>
      <w:bookmarkStart w:id="1062" w:name="_Toc499710215"/>
      <w:bookmarkStart w:id="1063" w:name="_Toc499797273"/>
      <w:bookmarkStart w:id="1064" w:name="_Toc499880509"/>
      <w:bookmarkStart w:id="1065" w:name="_Toc499881374"/>
      <w:bookmarkStart w:id="1066" w:name="_Toc499883583"/>
      <w:bookmarkStart w:id="1067" w:name="_Toc499883799"/>
      <w:bookmarkStart w:id="1068" w:name="_Toc499883990"/>
      <w:bookmarkStart w:id="1069" w:name="_Toc499884180"/>
      <w:bookmarkStart w:id="1070" w:name="_Toc500232427"/>
      <w:bookmarkStart w:id="1071" w:name="_Toc499709294"/>
      <w:bookmarkStart w:id="1072" w:name="_Toc499709477"/>
      <w:bookmarkStart w:id="1073" w:name="_Toc499709662"/>
      <w:bookmarkStart w:id="1074" w:name="_Toc499709846"/>
      <w:bookmarkStart w:id="1075" w:name="_Toc499710030"/>
      <w:bookmarkStart w:id="1076" w:name="_Toc499710216"/>
      <w:bookmarkStart w:id="1077" w:name="_Toc499797274"/>
      <w:bookmarkStart w:id="1078" w:name="_Toc499880510"/>
      <w:bookmarkStart w:id="1079" w:name="_Toc499881375"/>
      <w:bookmarkStart w:id="1080" w:name="_Toc499883584"/>
      <w:bookmarkStart w:id="1081" w:name="_Toc499883800"/>
      <w:bookmarkStart w:id="1082" w:name="_Toc499883991"/>
      <w:bookmarkStart w:id="1083" w:name="_Toc499884181"/>
      <w:bookmarkStart w:id="1084" w:name="_Toc500232428"/>
      <w:bookmarkStart w:id="1085" w:name="_Toc499709295"/>
      <w:bookmarkStart w:id="1086" w:name="_Toc499709478"/>
      <w:bookmarkStart w:id="1087" w:name="_Toc499709663"/>
      <w:bookmarkStart w:id="1088" w:name="_Toc499709847"/>
      <w:bookmarkStart w:id="1089" w:name="_Toc499710031"/>
      <w:bookmarkStart w:id="1090" w:name="_Toc499710217"/>
      <w:bookmarkStart w:id="1091" w:name="_Toc499797275"/>
      <w:bookmarkStart w:id="1092" w:name="_Toc499880511"/>
      <w:bookmarkStart w:id="1093" w:name="_Toc499881376"/>
      <w:bookmarkStart w:id="1094" w:name="_Toc499883585"/>
      <w:bookmarkStart w:id="1095" w:name="_Toc499883801"/>
      <w:bookmarkStart w:id="1096" w:name="_Toc499883992"/>
      <w:bookmarkStart w:id="1097" w:name="_Toc499884182"/>
      <w:bookmarkStart w:id="1098" w:name="_Toc500232429"/>
      <w:bookmarkStart w:id="1099" w:name="_Toc499709296"/>
      <w:bookmarkStart w:id="1100" w:name="_Toc499709479"/>
      <w:bookmarkStart w:id="1101" w:name="_Toc499709664"/>
      <w:bookmarkStart w:id="1102" w:name="_Toc499709848"/>
      <w:bookmarkStart w:id="1103" w:name="_Toc499710032"/>
      <w:bookmarkStart w:id="1104" w:name="_Toc499710218"/>
      <w:bookmarkStart w:id="1105" w:name="_Toc499797276"/>
      <w:bookmarkStart w:id="1106" w:name="_Toc499880512"/>
      <w:bookmarkStart w:id="1107" w:name="_Toc499881377"/>
      <w:bookmarkStart w:id="1108" w:name="_Toc499883586"/>
      <w:bookmarkStart w:id="1109" w:name="_Toc499883802"/>
      <w:bookmarkStart w:id="1110" w:name="_Toc499883993"/>
      <w:bookmarkStart w:id="1111" w:name="_Toc499884183"/>
      <w:bookmarkStart w:id="1112" w:name="_Toc500232430"/>
      <w:bookmarkStart w:id="1113" w:name="_Toc499709297"/>
      <w:bookmarkStart w:id="1114" w:name="_Toc499709480"/>
      <w:bookmarkStart w:id="1115" w:name="_Toc499709665"/>
      <w:bookmarkStart w:id="1116" w:name="_Toc499709849"/>
      <w:bookmarkStart w:id="1117" w:name="_Toc499710033"/>
      <w:bookmarkStart w:id="1118" w:name="_Toc499710219"/>
      <w:bookmarkStart w:id="1119" w:name="_Toc499797277"/>
      <w:bookmarkStart w:id="1120" w:name="_Toc499880513"/>
      <w:bookmarkStart w:id="1121" w:name="_Toc499881378"/>
      <w:bookmarkStart w:id="1122" w:name="_Toc499883587"/>
      <w:bookmarkStart w:id="1123" w:name="_Toc499883803"/>
      <w:bookmarkStart w:id="1124" w:name="_Toc499883994"/>
      <w:bookmarkStart w:id="1125" w:name="_Toc499884184"/>
      <w:bookmarkStart w:id="1126" w:name="_Toc500232431"/>
      <w:bookmarkStart w:id="1127" w:name="_Toc499709298"/>
      <w:bookmarkStart w:id="1128" w:name="_Toc499709481"/>
      <w:bookmarkStart w:id="1129" w:name="_Toc499709666"/>
      <w:bookmarkStart w:id="1130" w:name="_Toc499709850"/>
      <w:bookmarkStart w:id="1131" w:name="_Toc499710034"/>
      <w:bookmarkStart w:id="1132" w:name="_Toc499710220"/>
      <w:bookmarkStart w:id="1133" w:name="_Toc499797278"/>
      <w:bookmarkStart w:id="1134" w:name="_Toc499880514"/>
      <w:bookmarkStart w:id="1135" w:name="_Toc499881379"/>
      <w:bookmarkStart w:id="1136" w:name="_Toc499883588"/>
      <w:bookmarkStart w:id="1137" w:name="_Toc499883804"/>
      <w:bookmarkStart w:id="1138" w:name="_Toc499883995"/>
      <w:bookmarkStart w:id="1139" w:name="_Toc499884185"/>
      <w:bookmarkStart w:id="1140" w:name="_Toc500232432"/>
      <w:bookmarkStart w:id="1141" w:name="_Toc499709299"/>
      <w:bookmarkStart w:id="1142" w:name="_Toc499709482"/>
      <w:bookmarkStart w:id="1143" w:name="_Toc499709667"/>
      <w:bookmarkStart w:id="1144" w:name="_Toc499709851"/>
      <w:bookmarkStart w:id="1145" w:name="_Toc499710035"/>
      <w:bookmarkStart w:id="1146" w:name="_Toc499710221"/>
      <w:bookmarkStart w:id="1147" w:name="_Toc499797279"/>
      <w:bookmarkStart w:id="1148" w:name="_Toc499880515"/>
      <w:bookmarkStart w:id="1149" w:name="_Toc499881380"/>
      <w:bookmarkStart w:id="1150" w:name="_Toc499883589"/>
      <w:bookmarkStart w:id="1151" w:name="_Toc499883805"/>
      <w:bookmarkStart w:id="1152" w:name="_Toc499883996"/>
      <w:bookmarkStart w:id="1153" w:name="_Toc499884186"/>
      <w:bookmarkStart w:id="1154" w:name="_Toc500232433"/>
      <w:bookmarkStart w:id="1155" w:name="_Toc499709300"/>
      <w:bookmarkStart w:id="1156" w:name="_Toc499709483"/>
      <w:bookmarkStart w:id="1157" w:name="_Toc499709668"/>
      <w:bookmarkStart w:id="1158" w:name="_Toc499709852"/>
      <w:bookmarkStart w:id="1159" w:name="_Toc499710036"/>
      <w:bookmarkStart w:id="1160" w:name="_Toc499710222"/>
      <w:bookmarkStart w:id="1161" w:name="_Toc499797280"/>
      <w:bookmarkStart w:id="1162" w:name="_Toc499880516"/>
      <w:bookmarkStart w:id="1163" w:name="_Toc499881381"/>
      <w:bookmarkStart w:id="1164" w:name="_Toc499883590"/>
      <w:bookmarkStart w:id="1165" w:name="_Toc499883806"/>
      <w:bookmarkStart w:id="1166" w:name="_Toc499883997"/>
      <w:bookmarkStart w:id="1167" w:name="_Toc499884187"/>
      <w:bookmarkStart w:id="1168" w:name="_Toc500232434"/>
      <w:bookmarkStart w:id="1169" w:name="_Toc499709301"/>
      <w:bookmarkStart w:id="1170" w:name="_Toc499709484"/>
      <w:bookmarkStart w:id="1171" w:name="_Toc499709669"/>
      <w:bookmarkStart w:id="1172" w:name="_Toc499709853"/>
      <w:bookmarkStart w:id="1173" w:name="_Toc499710037"/>
      <w:bookmarkStart w:id="1174" w:name="_Toc499710223"/>
      <w:bookmarkStart w:id="1175" w:name="_Toc499797281"/>
      <w:bookmarkStart w:id="1176" w:name="_Toc499880517"/>
      <w:bookmarkStart w:id="1177" w:name="_Toc499881382"/>
      <w:bookmarkStart w:id="1178" w:name="_Toc499883591"/>
      <w:bookmarkStart w:id="1179" w:name="_Toc499883807"/>
      <w:bookmarkStart w:id="1180" w:name="_Toc499883998"/>
      <w:bookmarkStart w:id="1181" w:name="_Toc499884188"/>
      <w:bookmarkStart w:id="1182" w:name="_Toc500232435"/>
      <w:bookmarkStart w:id="1183" w:name="_Toc499709302"/>
      <w:bookmarkStart w:id="1184" w:name="_Toc499709485"/>
      <w:bookmarkStart w:id="1185" w:name="_Toc499709670"/>
      <w:bookmarkStart w:id="1186" w:name="_Toc499709854"/>
      <w:bookmarkStart w:id="1187" w:name="_Toc499710038"/>
      <w:bookmarkStart w:id="1188" w:name="_Toc499710224"/>
      <w:bookmarkStart w:id="1189" w:name="_Toc499797282"/>
      <w:bookmarkStart w:id="1190" w:name="_Toc499880518"/>
      <w:bookmarkStart w:id="1191" w:name="_Toc499881383"/>
      <w:bookmarkStart w:id="1192" w:name="_Toc499883592"/>
      <w:bookmarkStart w:id="1193" w:name="_Toc499883808"/>
      <w:bookmarkStart w:id="1194" w:name="_Toc499883999"/>
      <w:bookmarkStart w:id="1195" w:name="_Toc499884189"/>
      <w:bookmarkStart w:id="1196" w:name="_Toc500232436"/>
      <w:bookmarkStart w:id="1197" w:name="_Toc499709303"/>
      <w:bookmarkStart w:id="1198" w:name="_Toc499709486"/>
      <w:bookmarkStart w:id="1199" w:name="_Toc499709671"/>
      <w:bookmarkStart w:id="1200" w:name="_Toc499709855"/>
      <w:bookmarkStart w:id="1201" w:name="_Toc499710039"/>
      <w:bookmarkStart w:id="1202" w:name="_Toc499710225"/>
      <w:bookmarkStart w:id="1203" w:name="_Toc499797283"/>
      <w:bookmarkStart w:id="1204" w:name="_Toc499880519"/>
      <w:bookmarkStart w:id="1205" w:name="_Toc499881384"/>
      <w:bookmarkStart w:id="1206" w:name="_Toc499883593"/>
      <w:bookmarkStart w:id="1207" w:name="_Toc499883809"/>
      <w:bookmarkStart w:id="1208" w:name="_Toc499884000"/>
      <w:bookmarkStart w:id="1209" w:name="_Toc499884190"/>
      <w:bookmarkStart w:id="1210" w:name="_Toc500232437"/>
      <w:bookmarkStart w:id="1211" w:name="_Toc499709304"/>
      <w:bookmarkStart w:id="1212" w:name="_Toc499709487"/>
      <w:bookmarkStart w:id="1213" w:name="_Toc499709672"/>
      <w:bookmarkStart w:id="1214" w:name="_Toc499709856"/>
      <w:bookmarkStart w:id="1215" w:name="_Toc499710040"/>
      <w:bookmarkStart w:id="1216" w:name="_Toc499710226"/>
      <w:bookmarkStart w:id="1217" w:name="_Toc499797284"/>
      <w:bookmarkStart w:id="1218" w:name="_Toc499880520"/>
      <w:bookmarkStart w:id="1219" w:name="_Toc499881385"/>
      <w:bookmarkStart w:id="1220" w:name="_Toc499883594"/>
      <w:bookmarkStart w:id="1221" w:name="_Toc499883810"/>
      <w:bookmarkStart w:id="1222" w:name="_Toc499884001"/>
      <w:bookmarkStart w:id="1223" w:name="_Toc499884191"/>
      <w:bookmarkStart w:id="1224" w:name="_Toc500232438"/>
      <w:bookmarkStart w:id="1225" w:name="_Toc499709305"/>
      <w:bookmarkStart w:id="1226" w:name="_Toc499709488"/>
      <w:bookmarkStart w:id="1227" w:name="_Toc499709673"/>
      <w:bookmarkStart w:id="1228" w:name="_Toc499709857"/>
      <w:bookmarkStart w:id="1229" w:name="_Toc499710041"/>
      <w:bookmarkStart w:id="1230" w:name="_Toc499710227"/>
      <w:bookmarkStart w:id="1231" w:name="_Toc499797285"/>
      <w:bookmarkStart w:id="1232" w:name="_Toc499880521"/>
      <w:bookmarkStart w:id="1233" w:name="_Toc499881386"/>
      <w:bookmarkStart w:id="1234" w:name="_Toc499883595"/>
      <w:bookmarkStart w:id="1235" w:name="_Toc499883811"/>
      <w:bookmarkStart w:id="1236" w:name="_Toc499884002"/>
      <w:bookmarkStart w:id="1237" w:name="_Toc499884192"/>
      <w:bookmarkStart w:id="1238" w:name="_Toc500232439"/>
      <w:bookmarkStart w:id="1239" w:name="_Toc499709306"/>
      <w:bookmarkStart w:id="1240" w:name="_Toc499709489"/>
      <w:bookmarkStart w:id="1241" w:name="_Toc499709674"/>
      <w:bookmarkStart w:id="1242" w:name="_Toc499709858"/>
      <w:bookmarkStart w:id="1243" w:name="_Toc499710042"/>
      <w:bookmarkStart w:id="1244" w:name="_Toc499710228"/>
      <w:bookmarkStart w:id="1245" w:name="_Toc499797286"/>
      <w:bookmarkStart w:id="1246" w:name="_Toc499880522"/>
      <w:bookmarkStart w:id="1247" w:name="_Toc499881387"/>
      <w:bookmarkStart w:id="1248" w:name="_Toc499883596"/>
      <w:bookmarkStart w:id="1249" w:name="_Toc499883812"/>
      <w:bookmarkStart w:id="1250" w:name="_Toc499884003"/>
      <w:bookmarkStart w:id="1251" w:name="_Toc499884193"/>
      <w:bookmarkStart w:id="1252" w:name="_Toc500232440"/>
      <w:bookmarkStart w:id="1253" w:name="_Toc499709307"/>
      <w:bookmarkStart w:id="1254" w:name="_Toc499709490"/>
      <w:bookmarkStart w:id="1255" w:name="_Toc499709675"/>
      <w:bookmarkStart w:id="1256" w:name="_Toc499709859"/>
      <w:bookmarkStart w:id="1257" w:name="_Toc499710043"/>
      <w:bookmarkStart w:id="1258" w:name="_Toc499710229"/>
      <w:bookmarkStart w:id="1259" w:name="_Toc499797287"/>
      <w:bookmarkStart w:id="1260" w:name="_Toc499880523"/>
      <w:bookmarkStart w:id="1261" w:name="_Toc499881388"/>
      <w:bookmarkStart w:id="1262" w:name="_Toc499883597"/>
      <w:bookmarkStart w:id="1263" w:name="_Toc499883813"/>
      <w:bookmarkStart w:id="1264" w:name="_Toc499884004"/>
      <w:bookmarkStart w:id="1265" w:name="_Toc499884194"/>
      <w:bookmarkStart w:id="1266" w:name="_Toc500232441"/>
      <w:bookmarkStart w:id="1267" w:name="_Toc499709308"/>
      <w:bookmarkStart w:id="1268" w:name="_Toc499709491"/>
      <w:bookmarkStart w:id="1269" w:name="_Toc499709676"/>
      <w:bookmarkStart w:id="1270" w:name="_Toc499709860"/>
      <w:bookmarkStart w:id="1271" w:name="_Toc499710044"/>
      <w:bookmarkStart w:id="1272" w:name="_Toc499710230"/>
      <w:bookmarkStart w:id="1273" w:name="_Toc499797288"/>
      <w:bookmarkStart w:id="1274" w:name="_Toc499880524"/>
      <w:bookmarkStart w:id="1275" w:name="_Toc499881389"/>
      <w:bookmarkStart w:id="1276" w:name="_Toc499883598"/>
      <w:bookmarkStart w:id="1277" w:name="_Toc499883814"/>
      <w:bookmarkStart w:id="1278" w:name="_Toc499884005"/>
      <w:bookmarkStart w:id="1279" w:name="_Toc499884195"/>
      <w:bookmarkStart w:id="1280" w:name="_Toc500232442"/>
      <w:bookmarkStart w:id="1281" w:name="_Toc499709309"/>
      <w:bookmarkStart w:id="1282" w:name="_Toc499709492"/>
      <w:bookmarkStart w:id="1283" w:name="_Toc499709677"/>
      <w:bookmarkStart w:id="1284" w:name="_Toc499709861"/>
      <w:bookmarkStart w:id="1285" w:name="_Toc499710045"/>
      <w:bookmarkStart w:id="1286" w:name="_Toc499710231"/>
      <w:bookmarkStart w:id="1287" w:name="_Toc499797289"/>
      <w:bookmarkStart w:id="1288" w:name="_Toc499880525"/>
      <w:bookmarkStart w:id="1289" w:name="_Toc499881390"/>
      <w:bookmarkStart w:id="1290" w:name="_Toc499883599"/>
      <w:bookmarkStart w:id="1291" w:name="_Toc499883815"/>
      <w:bookmarkStart w:id="1292" w:name="_Toc499884006"/>
      <w:bookmarkStart w:id="1293" w:name="_Toc499884196"/>
      <w:bookmarkStart w:id="1294" w:name="_Toc500232443"/>
      <w:bookmarkStart w:id="1295" w:name="_Toc499709310"/>
      <w:bookmarkStart w:id="1296" w:name="_Toc499709493"/>
      <w:bookmarkStart w:id="1297" w:name="_Toc499709678"/>
      <w:bookmarkStart w:id="1298" w:name="_Toc499709862"/>
      <w:bookmarkStart w:id="1299" w:name="_Toc499710046"/>
      <w:bookmarkStart w:id="1300" w:name="_Toc499710232"/>
      <w:bookmarkStart w:id="1301" w:name="_Toc499797290"/>
      <w:bookmarkStart w:id="1302" w:name="_Toc499880526"/>
      <w:bookmarkStart w:id="1303" w:name="_Toc499881391"/>
      <w:bookmarkStart w:id="1304" w:name="_Toc499883600"/>
      <w:bookmarkStart w:id="1305" w:name="_Toc499883816"/>
      <w:bookmarkStart w:id="1306" w:name="_Toc499884007"/>
      <w:bookmarkStart w:id="1307" w:name="_Toc499884197"/>
      <w:bookmarkStart w:id="1308" w:name="_Toc500232444"/>
      <w:bookmarkStart w:id="1309" w:name="_Toc499709311"/>
      <w:bookmarkStart w:id="1310" w:name="_Toc499709494"/>
      <w:bookmarkStart w:id="1311" w:name="_Toc499709679"/>
      <w:bookmarkStart w:id="1312" w:name="_Toc499709863"/>
      <w:bookmarkStart w:id="1313" w:name="_Toc499710047"/>
      <w:bookmarkStart w:id="1314" w:name="_Toc499710233"/>
      <w:bookmarkStart w:id="1315" w:name="_Toc499797291"/>
      <w:bookmarkStart w:id="1316" w:name="_Toc499880527"/>
      <w:bookmarkStart w:id="1317" w:name="_Toc499881392"/>
      <w:bookmarkStart w:id="1318" w:name="_Toc499883601"/>
      <w:bookmarkStart w:id="1319" w:name="_Toc499883817"/>
      <w:bookmarkStart w:id="1320" w:name="_Toc499884008"/>
      <w:bookmarkStart w:id="1321" w:name="_Toc499884198"/>
      <w:bookmarkStart w:id="1322" w:name="_Toc500232445"/>
      <w:bookmarkStart w:id="1323" w:name="_Toc473547448"/>
      <w:bookmarkStart w:id="1324" w:name="_Toc535854489"/>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sidRPr="0027089A">
        <w:rPr>
          <w:color w:val="0070C0"/>
        </w:rPr>
        <w:t xml:space="preserve">Gli </w:t>
      </w:r>
      <w:r w:rsidRPr="0027089A">
        <w:rPr>
          <w:iCs w:val="0"/>
          <w:color w:val="0070C0"/>
          <w:kern w:val="32"/>
        </w:rPr>
        <w:t>ulteriori</w:t>
      </w:r>
      <w:r w:rsidRPr="0027089A">
        <w:rPr>
          <w:color w:val="0070C0"/>
        </w:rPr>
        <w:t xml:space="preserve"> obblighi di pubblicazione</w:t>
      </w:r>
      <w:bookmarkEnd w:id="1323"/>
      <w:bookmarkEnd w:id="1324"/>
    </w:p>
    <w:p w14:paraId="120658FC" w14:textId="7ABAB12B" w:rsidR="00603F3F" w:rsidRDefault="00603F3F" w:rsidP="00603F3F">
      <w:pPr>
        <w:widowControl w:val="0"/>
        <w:spacing w:after="0"/>
        <w:jc w:val="both"/>
        <w:rPr>
          <w:rFonts w:ascii="Times New Roman" w:hAnsi="Times New Roman"/>
          <w:spacing w:val="-4"/>
          <w:sz w:val="20"/>
          <w:szCs w:val="20"/>
        </w:rPr>
      </w:pPr>
      <w:r w:rsidRPr="00CD7FBE">
        <w:rPr>
          <w:rFonts w:ascii="Times New Roman" w:hAnsi="Times New Roman"/>
          <w:spacing w:val="-4"/>
          <w:sz w:val="20"/>
          <w:szCs w:val="20"/>
        </w:rPr>
        <w:t xml:space="preserve">La </w:t>
      </w:r>
      <w:r>
        <w:rPr>
          <w:rFonts w:ascii="Times New Roman" w:hAnsi="Times New Roman"/>
          <w:spacing w:val="-4"/>
          <w:sz w:val="20"/>
          <w:szCs w:val="20"/>
        </w:rPr>
        <w:t>società</w:t>
      </w:r>
      <w:r w:rsidRPr="00CD7FBE">
        <w:rPr>
          <w:rFonts w:ascii="Times New Roman" w:hAnsi="Times New Roman"/>
          <w:spacing w:val="-4"/>
          <w:sz w:val="20"/>
          <w:szCs w:val="20"/>
        </w:rPr>
        <w:t xml:space="preserve"> si riserva la possibilità di individuare contenuti ulteriori di pubblicazione, che possono essere utili alla trasparenza amministrativa o alla prevenzione della corruzione.</w:t>
      </w:r>
      <w:r>
        <w:rPr>
          <w:rFonts w:ascii="Times New Roman" w:hAnsi="Times New Roman"/>
          <w:spacing w:val="-4"/>
          <w:sz w:val="20"/>
          <w:szCs w:val="20"/>
        </w:rPr>
        <w:t xml:space="preserve"> </w:t>
      </w:r>
      <w:r w:rsidRPr="00CD7FBE">
        <w:rPr>
          <w:rFonts w:ascii="Times New Roman" w:hAnsi="Times New Roman"/>
          <w:spacing w:val="-4"/>
          <w:sz w:val="20"/>
          <w:szCs w:val="20"/>
        </w:rPr>
        <w:t xml:space="preserve">La pubblicazione dei dati evolverà in un’ottica di miglioramento continuo, tutti i documenti pubblicati riporteranno al loro interno dati di contesto ovvero: fonte, data, periodo di riferimento o validità e oggetto al fine di garantire l’individuazione della natura dei dati e la validità degli stessi. Saranno inoltre pubblicati tutti i dati/informazioni individuati dal </w:t>
      </w:r>
      <w:r>
        <w:rPr>
          <w:rFonts w:ascii="Times New Roman" w:hAnsi="Times New Roman"/>
          <w:spacing w:val="-4"/>
          <w:sz w:val="20"/>
          <w:szCs w:val="20"/>
        </w:rPr>
        <w:t>RPCT</w:t>
      </w:r>
      <w:r w:rsidRPr="00CD7FBE">
        <w:rPr>
          <w:rFonts w:ascii="Times New Roman" w:hAnsi="Times New Roman"/>
          <w:spacing w:val="-4"/>
          <w:sz w:val="20"/>
          <w:szCs w:val="20"/>
        </w:rPr>
        <w:t xml:space="preserve"> che possono assicurare visibilità dell’azione amministrativa e diffusione di informazioni utili al contrasto di comportamenti non corretti.</w:t>
      </w:r>
    </w:p>
    <w:p w14:paraId="672BCACF" w14:textId="77777777" w:rsidR="00825DA9" w:rsidRPr="00FB1545" w:rsidRDefault="00825DA9" w:rsidP="00603F3F">
      <w:pPr>
        <w:widowControl w:val="0"/>
        <w:spacing w:after="0"/>
        <w:jc w:val="both"/>
      </w:pPr>
    </w:p>
    <w:p w14:paraId="7667DD36" w14:textId="77777777" w:rsidR="00603F3F" w:rsidRDefault="00603F3F" w:rsidP="00603F3F">
      <w:pPr>
        <w:widowControl w:val="0"/>
        <w:spacing w:after="0"/>
        <w:jc w:val="both"/>
        <w:rPr>
          <w:rFonts w:ascii="Times New Roman" w:hAnsi="Times New Roman"/>
          <w:sz w:val="20"/>
          <w:szCs w:val="20"/>
        </w:rPr>
      </w:pPr>
    </w:p>
    <w:p w14:paraId="099E6A1D" w14:textId="77777777" w:rsidR="00603F3F" w:rsidRPr="0027089A" w:rsidRDefault="00603F3F" w:rsidP="00603F3F">
      <w:pPr>
        <w:pStyle w:val="Titolo2"/>
        <w:keepNext w:val="0"/>
        <w:spacing w:line="276" w:lineRule="auto"/>
        <w:ind w:left="426" w:hanging="426"/>
        <w:rPr>
          <w:color w:val="0070C0"/>
        </w:rPr>
      </w:pPr>
      <w:bookmarkStart w:id="1325" w:name="_Toc535854490"/>
      <w:r w:rsidRPr="0027089A">
        <w:rPr>
          <w:color w:val="0070C0"/>
        </w:rPr>
        <w:t>Privacy</w:t>
      </w:r>
      <w:bookmarkEnd w:id="1325"/>
    </w:p>
    <w:p w14:paraId="1D599A00" w14:textId="4A2B8582"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r w:rsidRPr="00CD7FBE">
        <w:rPr>
          <w:rFonts w:ascii="Times New Roman" w:hAnsi="Times New Roman" w:cs="Times New Roman"/>
          <w:color w:val="auto"/>
          <w:sz w:val="20"/>
          <w:szCs w:val="20"/>
          <w:lang w:eastAsia="en-US"/>
        </w:rPr>
        <w:t xml:space="preserve">I </w:t>
      </w:r>
      <w:r w:rsidRPr="00CD7FBE">
        <w:rPr>
          <w:rFonts w:ascii="Times New Roman" w:hAnsi="Times New Roman" w:cs="Times New Roman"/>
          <w:color w:val="auto"/>
          <w:sz w:val="20"/>
          <w:szCs w:val="20"/>
        </w:rPr>
        <w:t>Responsabili della trasmissione dei dati e i Responsabili della pubblicazione e dell’aggiornamento dei documenti, delle informazioni e dei dati</w:t>
      </w:r>
      <w:r w:rsidR="0027089A">
        <w:rPr>
          <w:rFonts w:ascii="Times New Roman" w:hAnsi="Times New Roman" w:cs="Times New Roman"/>
          <w:color w:val="auto"/>
          <w:sz w:val="20"/>
          <w:szCs w:val="20"/>
          <w:lang w:eastAsia="en-US"/>
        </w:rPr>
        <w:t xml:space="preserve"> nonché il Direttore e </w:t>
      </w:r>
      <w:r w:rsidR="00077FB5">
        <w:rPr>
          <w:rFonts w:ascii="Times New Roman" w:hAnsi="Times New Roman" w:cs="Times New Roman"/>
          <w:color w:val="auto"/>
          <w:sz w:val="20"/>
          <w:szCs w:val="20"/>
          <w:lang w:eastAsia="en-US"/>
        </w:rPr>
        <w:t>i Responsabili di Settore</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 xml:space="preserve">Ufficio </w:t>
      </w:r>
      <w:r w:rsidRPr="00CD7FBE">
        <w:rPr>
          <w:rFonts w:ascii="Times New Roman" w:hAnsi="Times New Roman" w:cs="Times New Roman"/>
          <w:color w:val="auto"/>
          <w:sz w:val="20"/>
          <w:szCs w:val="20"/>
          <w:lang w:eastAsia="en-US"/>
        </w:rPr>
        <w:t>responsabili dei dati ai sensi della tabella riportata nell’</w:t>
      </w:r>
      <w:r>
        <w:rPr>
          <w:rFonts w:ascii="Times New Roman" w:hAnsi="Times New Roman" w:cs="Times New Roman"/>
          <w:color w:val="auto"/>
          <w:sz w:val="20"/>
          <w:szCs w:val="20"/>
          <w:lang w:eastAsia="en-US"/>
        </w:rPr>
        <w:t>a</w:t>
      </w:r>
      <w:r w:rsidRPr="00CD7FBE">
        <w:rPr>
          <w:rFonts w:ascii="Times New Roman" w:hAnsi="Times New Roman" w:cs="Times New Roman"/>
          <w:color w:val="auto"/>
          <w:sz w:val="20"/>
          <w:szCs w:val="20"/>
          <w:lang w:eastAsia="en-US"/>
        </w:rPr>
        <w:t>llegato 4d “</w:t>
      </w:r>
      <w:r w:rsidRPr="00CD7FBE">
        <w:rPr>
          <w:rFonts w:ascii="Times New Roman" w:hAnsi="Times New Roman" w:cs="Times New Roman"/>
          <w:i/>
          <w:color w:val="auto"/>
          <w:sz w:val="20"/>
          <w:szCs w:val="20"/>
          <w:lang w:eastAsia="en-US"/>
        </w:rPr>
        <w:t xml:space="preserve">Programmazione obblighi di pubblicazione ex </w:t>
      </w:r>
      <w:r>
        <w:rPr>
          <w:rFonts w:ascii="Times New Roman" w:hAnsi="Times New Roman" w:cs="Times New Roman"/>
          <w:i/>
          <w:color w:val="auto"/>
          <w:sz w:val="20"/>
          <w:szCs w:val="20"/>
          <w:lang w:eastAsia="en-US"/>
        </w:rPr>
        <w:t>D. Lgs</w:t>
      </w:r>
      <w:r w:rsidRPr="00CD7FBE">
        <w:rPr>
          <w:rFonts w:ascii="Times New Roman" w:hAnsi="Times New Roman" w:cs="Times New Roman"/>
          <w:i/>
          <w:color w:val="auto"/>
          <w:sz w:val="20"/>
          <w:szCs w:val="20"/>
          <w:lang w:eastAsia="en-US"/>
        </w:rPr>
        <w:t>. 33/2013</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w:t>
      </w:r>
      <w:r w:rsidRPr="00CD7FBE">
        <w:rPr>
          <w:rFonts w:ascii="Times New Roman" w:hAnsi="Times New Roman" w:cs="Times New Roman"/>
          <w:color w:val="auto"/>
          <w:sz w:val="20"/>
          <w:szCs w:val="20"/>
          <w:lang w:eastAsia="en-US"/>
        </w:rPr>
        <w:t xml:space="preserve"> nella pubblicazione dei documenti, delle informazioni e dei dati “</w:t>
      </w:r>
      <w:r w:rsidRPr="00CD7FBE">
        <w:rPr>
          <w:rFonts w:ascii="Times New Roman" w:hAnsi="Times New Roman" w:cs="Times New Roman"/>
          <w:i/>
          <w:color w:val="auto"/>
          <w:sz w:val="20"/>
          <w:szCs w:val="20"/>
          <w:lang w:eastAsia="en-US"/>
        </w:rPr>
        <w:t>concernenti l’organizzazione e l’attività della società</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w:t>
      </w:r>
      <w:r w:rsidRPr="00CD7FBE">
        <w:rPr>
          <w:rFonts w:ascii="Times New Roman" w:hAnsi="Times New Roman" w:cs="Times New Roman"/>
          <w:color w:val="auto"/>
          <w:sz w:val="20"/>
          <w:szCs w:val="20"/>
          <w:lang w:eastAsia="en-US"/>
        </w:rPr>
        <w:t xml:space="preserve"> devono attenersi al rispetto della normativa in materia di protezione dei dati personali di cui al </w:t>
      </w:r>
      <w:r>
        <w:rPr>
          <w:rFonts w:ascii="Times New Roman" w:hAnsi="Times New Roman" w:cs="Times New Roman"/>
          <w:color w:val="auto"/>
          <w:sz w:val="20"/>
          <w:szCs w:val="20"/>
          <w:lang w:eastAsia="en-US"/>
        </w:rPr>
        <w:t>D. Lgs</w:t>
      </w:r>
      <w:r w:rsidRPr="00CD7FBE">
        <w:rPr>
          <w:rFonts w:ascii="Times New Roman" w:hAnsi="Times New Roman" w:cs="Times New Roman"/>
          <w:color w:val="auto"/>
          <w:sz w:val="20"/>
          <w:szCs w:val="20"/>
          <w:lang w:eastAsia="en-US"/>
        </w:rPr>
        <w:t xml:space="preserve">. 196/2003 (Codice </w:t>
      </w:r>
      <w:r>
        <w:rPr>
          <w:rFonts w:ascii="Times New Roman" w:hAnsi="Times New Roman" w:cs="Times New Roman"/>
          <w:color w:val="auto"/>
          <w:sz w:val="20"/>
          <w:szCs w:val="20"/>
          <w:lang w:eastAsia="en-US"/>
        </w:rPr>
        <w:t>in materia di protezione dei dati personali</w:t>
      </w:r>
      <w:r w:rsidRPr="00CD7FBE">
        <w:rPr>
          <w:rFonts w:ascii="Times New Roman" w:hAnsi="Times New Roman" w:cs="Times New Roman"/>
          <w:color w:val="auto"/>
          <w:sz w:val="20"/>
          <w:szCs w:val="20"/>
          <w:lang w:eastAsia="en-US"/>
        </w:rPr>
        <w:t>)</w:t>
      </w:r>
      <w:r>
        <w:rPr>
          <w:rFonts w:ascii="Times New Roman" w:hAnsi="Times New Roman" w:cs="Times New Roman"/>
          <w:color w:val="auto"/>
          <w:sz w:val="20"/>
          <w:szCs w:val="20"/>
          <w:lang w:eastAsia="en-US"/>
        </w:rPr>
        <w:t>così come integrato con le modifiche introdotte dal d.lgs. 10 agosto 2018, n. 101 recante “</w:t>
      </w:r>
      <w:r w:rsidRPr="00126027">
        <w:rPr>
          <w:rFonts w:ascii="Times New Roman" w:hAnsi="Times New Roman" w:cs="Times New Roman"/>
          <w:i/>
          <w:color w:val="auto"/>
          <w:sz w:val="20"/>
          <w:szCs w:val="20"/>
          <w:lang w:eastAsia="en-US"/>
        </w:rPr>
        <w:t>Disposizioni per l'adeguamento della normativa nazionale alle disposizioni del regolamento (UE) 2016/679 del Parlamento europeo e del Consiglio, del 27 aprile 2016, relativo alla protezione delle persone fisiche con riguardo al trattamento dei dati personali, nonch</w:t>
      </w:r>
      <w:r>
        <w:rPr>
          <w:rFonts w:ascii="Times New Roman" w:hAnsi="Times New Roman" w:cs="Times New Roman"/>
          <w:i/>
          <w:color w:val="auto"/>
          <w:sz w:val="20"/>
          <w:szCs w:val="20"/>
          <w:lang w:eastAsia="en-US"/>
        </w:rPr>
        <w:t>é</w:t>
      </w:r>
      <w:r w:rsidRPr="00126027">
        <w:rPr>
          <w:rFonts w:ascii="Times New Roman" w:hAnsi="Times New Roman" w:cs="Times New Roman"/>
          <w:i/>
          <w:color w:val="auto"/>
          <w:sz w:val="20"/>
          <w:szCs w:val="20"/>
          <w:lang w:eastAsia="en-US"/>
        </w:rPr>
        <w:t xml:space="preserve"> alla libera circolazione di tali dati e che abroga la direttiva 95/46/CE</w:t>
      </w:r>
      <w:r>
        <w:rPr>
          <w:rFonts w:ascii="Times New Roman" w:hAnsi="Times New Roman" w:cs="Times New Roman"/>
          <w:color w:val="auto"/>
          <w:sz w:val="20"/>
          <w:szCs w:val="20"/>
          <w:lang w:eastAsia="en-US"/>
        </w:rPr>
        <w:t>”</w:t>
      </w:r>
      <w:r w:rsidRPr="00CD7FBE">
        <w:rPr>
          <w:rFonts w:ascii="Times New Roman" w:hAnsi="Times New Roman" w:cs="Times New Roman"/>
          <w:color w:val="auto"/>
          <w:sz w:val="20"/>
          <w:szCs w:val="20"/>
          <w:lang w:eastAsia="en-US"/>
        </w:rPr>
        <w:t xml:space="preserve"> e delle “</w:t>
      </w:r>
      <w:r w:rsidRPr="00CD7FBE">
        <w:rPr>
          <w:rFonts w:ascii="Times New Roman" w:hAnsi="Times New Roman" w:cs="Times New Roman"/>
          <w:i/>
          <w:color w:val="auto"/>
          <w:sz w:val="20"/>
          <w:szCs w:val="20"/>
          <w:lang w:eastAsia="en-US"/>
        </w:rPr>
        <w:t>Linee Guida in materia di Trattamento di dati personali, contenuti anche in atti e documenti amministrativi, effettuato per finalità di pubblicazione e trasparenza sul web da soggetti pubblici e da altri enti obbligati</w:t>
      </w:r>
      <w:r w:rsidRPr="00CD7FBE">
        <w:rPr>
          <w:rFonts w:ascii="Times New Roman" w:hAnsi="Times New Roman" w:cs="Times New Roman"/>
          <w:color w:val="auto"/>
          <w:sz w:val="20"/>
          <w:szCs w:val="20"/>
          <w:lang w:eastAsia="en-US"/>
        </w:rPr>
        <w:t xml:space="preserve">” adottate dall’Autorità Garante per la protezione dei dati il 15 </w:t>
      </w:r>
      <w:r>
        <w:rPr>
          <w:rFonts w:ascii="Times New Roman" w:hAnsi="Times New Roman" w:cs="Times New Roman"/>
          <w:color w:val="auto"/>
          <w:sz w:val="20"/>
          <w:szCs w:val="20"/>
          <w:lang w:eastAsia="en-US"/>
        </w:rPr>
        <w:t>m</w:t>
      </w:r>
      <w:r w:rsidRPr="00CD7FBE">
        <w:rPr>
          <w:rFonts w:ascii="Times New Roman" w:hAnsi="Times New Roman" w:cs="Times New Roman"/>
          <w:color w:val="auto"/>
          <w:sz w:val="20"/>
          <w:szCs w:val="20"/>
          <w:lang w:eastAsia="en-US"/>
        </w:rPr>
        <w:t>aggio 2014 e pubblicate sulla Gazzetta Ufficiale n.134 del 12 Giugno 2014.</w:t>
      </w:r>
    </w:p>
    <w:p w14:paraId="714CBC18" w14:textId="1B55782B"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p>
    <w:p w14:paraId="38EFDD51" w14:textId="5D6D8F58" w:rsidR="00603F3F" w:rsidRPr="00D7062B" w:rsidRDefault="00603F3F" w:rsidP="00603F3F">
      <w:pPr>
        <w:pStyle w:val="Default"/>
        <w:widowControl w:val="0"/>
        <w:tabs>
          <w:tab w:val="left" w:pos="426"/>
        </w:tabs>
        <w:spacing w:line="276" w:lineRule="auto"/>
        <w:jc w:val="both"/>
        <w:rPr>
          <w:rFonts w:ascii="Times New Roman" w:eastAsia="Times New Roman" w:hAnsi="Times New Roman" w:cs="Times New Roman"/>
          <w:b/>
          <w:bCs/>
          <w:color w:val="0070C0"/>
          <w:sz w:val="20"/>
          <w:szCs w:val="26"/>
          <w:lang w:val="x-none" w:eastAsia="en-US"/>
        </w:rPr>
      </w:pPr>
      <w:r w:rsidRPr="00D7062B">
        <w:rPr>
          <w:rFonts w:ascii="Times New Roman" w:eastAsia="Times New Roman" w:hAnsi="Times New Roman" w:cs="Times New Roman"/>
          <w:b/>
          <w:bCs/>
          <w:color w:val="0070C0"/>
          <w:sz w:val="20"/>
          <w:szCs w:val="26"/>
          <w:lang w:val="x-none" w:eastAsia="en-US"/>
        </w:rPr>
        <w:t>5.1</w:t>
      </w:r>
      <w:r w:rsidRPr="00D7062B">
        <w:rPr>
          <w:rFonts w:ascii="Times New Roman" w:eastAsia="Times New Roman" w:hAnsi="Times New Roman" w:cs="Times New Roman"/>
          <w:b/>
          <w:bCs/>
          <w:color w:val="0070C0"/>
          <w:sz w:val="20"/>
          <w:szCs w:val="26"/>
          <w:lang w:val="x-none" w:eastAsia="en-US"/>
        </w:rPr>
        <w:tab/>
        <w:t>Rapporti tra RPCT e Responsabile della Protezione dei Dati – RPD</w:t>
      </w:r>
    </w:p>
    <w:p w14:paraId="3BC8E626" w14:textId="43F42EF3"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Il Regolamento (UE) 2016/679 (artt. 37-39) ha introdotto la figura del Responsabile della protezione dei dati - RPD. </w:t>
      </w:r>
      <w:r w:rsidRPr="00887D0A">
        <w:rPr>
          <w:rFonts w:ascii="Times New Roman" w:hAnsi="Times New Roman" w:cs="Times New Roman"/>
          <w:color w:val="auto"/>
          <w:sz w:val="20"/>
          <w:szCs w:val="20"/>
          <w:lang w:eastAsia="en-US"/>
        </w:rPr>
        <w:t>Si tratta di un soggetto designato dal titolare o dal responsabile del trattamento per assolvere a funzioni di supporto e controllo, consultive, formative e informative relativamente all'applicazione del Regolamento medesimo. Coopera con l'Autorità (e proprio per questo, il suo nominativo va</w:t>
      </w:r>
      <w:r>
        <w:rPr>
          <w:rFonts w:ascii="Times New Roman" w:hAnsi="Times New Roman" w:cs="Times New Roman"/>
          <w:color w:val="auto"/>
          <w:sz w:val="20"/>
          <w:szCs w:val="20"/>
          <w:lang w:eastAsia="en-US"/>
        </w:rPr>
        <w:t xml:space="preserve"> </w:t>
      </w:r>
      <w:r w:rsidRPr="009848BD">
        <w:rPr>
          <w:rFonts w:ascii="Times New Roman" w:hAnsi="Times New Roman" w:cs="Times New Roman"/>
          <w:bCs/>
          <w:color w:val="auto"/>
          <w:sz w:val="20"/>
          <w:szCs w:val="20"/>
          <w:lang w:eastAsia="en-US"/>
        </w:rPr>
        <w:t>comunicato</w:t>
      </w:r>
      <w:r>
        <w:rPr>
          <w:rFonts w:ascii="Times New Roman" w:hAnsi="Times New Roman" w:cs="Times New Roman"/>
          <w:bCs/>
          <w:color w:val="auto"/>
          <w:sz w:val="20"/>
          <w:szCs w:val="20"/>
          <w:lang w:eastAsia="en-US"/>
        </w:rPr>
        <w:t xml:space="preserve"> </w:t>
      </w:r>
      <w:r w:rsidRPr="00887D0A">
        <w:rPr>
          <w:rFonts w:ascii="Times New Roman" w:hAnsi="Times New Roman" w:cs="Times New Roman"/>
          <w:color w:val="auto"/>
          <w:sz w:val="20"/>
          <w:szCs w:val="20"/>
          <w:lang w:eastAsia="en-US"/>
        </w:rPr>
        <w:t>al Garante</w:t>
      </w:r>
      <w:r>
        <w:rPr>
          <w:rFonts w:ascii="Times New Roman" w:hAnsi="Times New Roman" w:cs="Times New Roman"/>
          <w:color w:val="auto"/>
          <w:sz w:val="20"/>
          <w:szCs w:val="20"/>
          <w:lang w:eastAsia="en-US"/>
        </w:rPr>
        <w:t xml:space="preserve">) </w:t>
      </w:r>
      <w:r w:rsidRPr="00887D0A">
        <w:rPr>
          <w:rFonts w:ascii="Times New Roman" w:hAnsi="Times New Roman" w:cs="Times New Roman"/>
          <w:color w:val="auto"/>
          <w:sz w:val="20"/>
          <w:szCs w:val="20"/>
          <w:lang w:eastAsia="en-US"/>
        </w:rPr>
        <w:t>e costituisce il punto di contatto, anche rispetto agli interessati, per le questioni connesse al trattamento dei dati personali (artt. 38 e 39 del Regolamento).</w:t>
      </w:r>
      <w:r>
        <w:rPr>
          <w:rFonts w:ascii="Times New Roman" w:hAnsi="Times New Roman" w:cs="Times New Roman"/>
          <w:color w:val="auto"/>
          <w:sz w:val="20"/>
          <w:szCs w:val="20"/>
          <w:lang w:eastAsia="en-US"/>
        </w:rPr>
        <w:t xml:space="preserve"> </w:t>
      </w:r>
    </w:p>
    <w:p w14:paraId="6303C4AB" w14:textId="77777777"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p>
    <w:p w14:paraId="65AD16FF" w14:textId="35EBDCF7"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 xml:space="preserve">La società ha provveduto a nominare il Dott. </w:t>
      </w:r>
      <w:r w:rsidR="00A01DC4">
        <w:rPr>
          <w:rFonts w:ascii="Times New Roman" w:hAnsi="Times New Roman" w:cs="Times New Roman"/>
          <w:b/>
          <w:color w:val="auto"/>
          <w:sz w:val="20"/>
          <w:szCs w:val="20"/>
          <w:lang w:eastAsia="en-US"/>
        </w:rPr>
        <w:t>Michele Bernardini</w:t>
      </w:r>
      <w:r>
        <w:rPr>
          <w:rFonts w:ascii="Times New Roman" w:hAnsi="Times New Roman" w:cs="Times New Roman"/>
          <w:color w:val="auto"/>
          <w:sz w:val="20"/>
          <w:szCs w:val="20"/>
          <w:lang w:eastAsia="en-US"/>
        </w:rPr>
        <w:t xml:space="preserve"> quale </w:t>
      </w:r>
      <w:r w:rsidRPr="004E0620">
        <w:rPr>
          <w:rFonts w:ascii="Times New Roman" w:hAnsi="Times New Roman" w:cs="Times New Roman"/>
          <w:b/>
          <w:color w:val="auto"/>
          <w:sz w:val="20"/>
          <w:szCs w:val="20"/>
          <w:lang w:eastAsia="en-US"/>
        </w:rPr>
        <w:t>Responsabile della Protezione dei Dati</w:t>
      </w:r>
      <w:r>
        <w:rPr>
          <w:rFonts w:ascii="Times New Roman" w:hAnsi="Times New Roman" w:cs="Times New Roman"/>
          <w:color w:val="auto"/>
          <w:sz w:val="20"/>
          <w:szCs w:val="20"/>
          <w:lang w:eastAsia="en-US"/>
        </w:rPr>
        <w:t>.</w:t>
      </w:r>
    </w:p>
    <w:p w14:paraId="4D66D060" w14:textId="36A78568" w:rsidR="00603F3F" w:rsidRDefault="00603F3F" w:rsidP="00603F3F">
      <w:pPr>
        <w:pStyle w:val="Default"/>
        <w:widowControl w:val="0"/>
        <w:spacing w:line="276" w:lineRule="auto"/>
        <w:jc w:val="both"/>
        <w:rPr>
          <w:rFonts w:ascii="Times New Roman" w:hAnsi="Times New Roman" w:cs="Times New Roman"/>
          <w:color w:val="auto"/>
          <w:sz w:val="20"/>
          <w:szCs w:val="20"/>
          <w:lang w:eastAsia="en-US"/>
        </w:rPr>
      </w:pPr>
    </w:p>
    <w:p w14:paraId="38A363A2" w14:textId="4368D3C6" w:rsidR="00603F3F" w:rsidRPr="00CD7FBE" w:rsidRDefault="00603F3F" w:rsidP="00603F3F">
      <w:pPr>
        <w:pStyle w:val="Default"/>
        <w:widowControl w:val="0"/>
        <w:spacing w:line="276" w:lineRule="auto"/>
        <w:jc w:val="both"/>
        <w:rPr>
          <w:rFonts w:ascii="Times New Roman" w:hAnsi="Times New Roman" w:cs="Times New Roman"/>
          <w:color w:val="auto"/>
          <w:sz w:val="20"/>
          <w:szCs w:val="20"/>
          <w:lang w:eastAsia="en-US"/>
        </w:rPr>
      </w:pPr>
      <w:r>
        <w:rPr>
          <w:rFonts w:ascii="Times New Roman" w:hAnsi="Times New Roman" w:cs="Times New Roman"/>
          <w:color w:val="auto"/>
          <w:sz w:val="20"/>
          <w:szCs w:val="20"/>
          <w:lang w:eastAsia="en-US"/>
        </w:rPr>
        <w:t>L’A.N.AC. ha sottolineato nell’Aggiornamento 2018 al Piano Nazionale Anticorruzione l’importanza di un coordinamento tra il RPCT e RPD per le questioni di carattere generale riguardanti la protezione dei dati personali, per le quali il RPD costituisce una figura di riferimento per il RPCT. L’Autorità</w:t>
      </w:r>
      <w:r w:rsidRPr="004E0620">
        <w:rPr>
          <w:rFonts w:ascii="Times New Roman" w:hAnsi="Times New Roman" w:cs="Times New Roman"/>
          <w:color w:val="auto"/>
          <w:sz w:val="20"/>
          <w:szCs w:val="20"/>
          <w:lang w:eastAsia="en-US"/>
        </w:rPr>
        <w:t xml:space="preserve"> consider</w:t>
      </w:r>
      <w:r>
        <w:rPr>
          <w:rFonts w:ascii="Times New Roman" w:hAnsi="Times New Roman" w:cs="Times New Roman"/>
          <w:color w:val="auto"/>
          <w:sz w:val="20"/>
          <w:szCs w:val="20"/>
          <w:lang w:eastAsia="en-US"/>
        </w:rPr>
        <w:t>a</w:t>
      </w:r>
      <w:r w:rsidRPr="004E0620">
        <w:rPr>
          <w:rFonts w:ascii="Times New Roman" w:hAnsi="Times New Roman" w:cs="Times New Roman"/>
          <w:color w:val="auto"/>
          <w:sz w:val="20"/>
          <w:szCs w:val="20"/>
          <w:lang w:eastAsia="en-US"/>
        </w:rPr>
        <w:t>, ad esempio, il caso delle istanze di riesame di decisioni sull’accesso civico generalizzato che, per quanto possano riguardare profili attinenti alla protezione dei dati personali, sono decise dal RPCT con richiesta di parere al Garante per la protezione dei dati personali ai sensi dell’art. 5, co. 7, del d.lgs. 33/2013. In questi casi il RPCT ben si può avvalere, se ritenuto necessario, di un supporto del RDP nell’ambito di un rapporto di collaborazione interna fra gli uffici ma limitatamente a profili di carattere generale, tenuto conto che proprio la legge attribuisce al RPCT il potere di richiedere un parere al Garante per la protezione dei dati personali. Ciò anche se il RPD sia stato eventualmente già consultato in prima istanza dall’ufficio che ha riscontrato l’accesso civico oggetto del riesame</w:t>
      </w:r>
    </w:p>
    <w:p w14:paraId="1175C613" w14:textId="77777777" w:rsidR="00603F3F" w:rsidRPr="00CD7FBE" w:rsidRDefault="00603F3F" w:rsidP="00603F3F">
      <w:pPr>
        <w:pStyle w:val="Default"/>
        <w:widowControl w:val="0"/>
        <w:spacing w:line="276" w:lineRule="auto"/>
        <w:jc w:val="both"/>
        <w:rPr>
          <w:rFonts w:ascii="Times New Roman" w:hAnsi="Times New Roman" w:cs="Times New Roman"/>
          <w:color w:val="auto"/>
          <w:sz w:val="20"/>
          <w:szCs w:val="20"/>
          <w:lang w:eastAsia="en-US"/>
        </w:rPr>
      </w:pPr>
    </w:p>
    <w:p w14:paraId="6E3C72BC" w14:textId="2407BE83" w:rsidR="00603F3F" w:rsidRPr="00CD7FBE" w:rsidRDefault="00603F3F" w:rsidP="00603F3F">
      <w:pPr>
        <w:pStyle w:val="Default"/>
        <w:widowControl w:val="0"/>
        <w:spacing w:line="276" w:lineRule="auto"/>
        <w:jc w:val="both"/>
        <w:rPr>
          <w:rFonts w:ascii="Times New Roman" w:hAnsi="Times New Roman" w:cs="Times New Roman"/>
          <w:sz w:val="20"/>
          <w:szCs w:val="20"/>
          <w:lang w:eastAsia="en-US"/>
        </w:rPr>
      </w:pPr>
    </w:p>
    <w:p w14:paraId="200A7A1B" w14:textId="77777777" w:rsidR="00603F3F" w:rsidRPr="0027089A" w:rsidRDefault="00603F3F" w:rsidP="00603F3F">
      <w:pPr>
        <w:pStyle w:val="Titolo2"/>
        <w:keepNext w:val="0"/>
        <w:spacing w:line="276" w:lineRule="auto"/>
        <w:ind w:left="284" w:hanging="284"/>
        <w:rPr>
          <w:color w:val="0070C0"/>
        </w:rPr>
      </w:pPr>
      <w:bookmarkStart w:id="1326" w:name="_Toc535854491"/>
      <w:r w:rsidRPr="0027089A">
        <w:rPr>
          <w:color w:val="0070C0"/>
        </w:rPr>
        <w:t>I collegamenti con il Piano della performance</w:t>
      </w:r>
      <w:bookmarkEnd w:id="1326"/>
    </w:p>
    <w:p w14:paraId="568272D0" w14:textId="619CCCB6" w:rsidR="00603F3F" w:rsidRPr="00CD7FBE" w:rsidRDefault="00603F3F" w:rsidP="00603F3F">
      <w:pPr>
        <w:pStyle w:val="Default"/>
        <w:widowControl w:val="0"/>
        <w:spacing w:line="276" w:lineRule="auto"/>
        <w:jc w:val="both"/>
        <w:rPr>
          <w:rFonts w:ascii="Times New Roman" w:hAnsi="Times New Roman" w:cs="Times New Roman"/>
          <w:sz w:val="20"/>
          <w:szCs w:val="20"/>
        </w:rPr>
      </w:pPr>
      <w:r w:rsidRPr="00CD7FBE">
        <w:rPr>
          <w:rFonts w:ascii="Times New Roman" w:hAnsi="Times New Roman" w:cs="Times New Roman"/>
          <w:sz w:val="20"/>
          <w:szCs w:val="20"/>
        </w:rPr>
        <w:t xml:space="preserve">Ai sensi di quanto ribadito dalla Determinazione n. 12/2015 tutti gli obblighi di pubblicazione ex </w:t>
      </w:r>
      <w:r>
        <w:rPr>
          <w:rFonts w:ascii="Times New Roman" w:hAnsi="Times New Roman" w:cs="Times New Roman"/>
          <w:sz w:val="20"/>
          <w:szCs w:val="20"/>
        </w:rPr>
        <w:t>D. Lgs</w:t>
      </w:r>
      <w:r w:rsidRPr="00CD7FBE">
        <w:rPr>
          <w:rFonts w:ascii="Times New Roman" w:hAnsi="Times New Roman" w:cs="Times New Roman"/>
          <w:sz w:val="20"/>
          <w:szCs w:val="20"/>
        </w:rPr>
        <w:t xml:space="preserve">. n. 33/2013 e ss.mm. e ii. </w:t>
      </w:r>
      <w:r>
        <w:rPr>
          <w:rFonts w:ascii="Times New Roman" w:hAnsi="Times New Roman" w:cs="Times New Roman"/>
          <w:sz w:val="20"/>
          <w:szCs w:val="20"/>
        </w:rPr>
        <w:t xml:space="preserve">nonché </w:t>
      </w:r>
      <w:r w:rsidRPr="00CD7FBE">
        <w:rPr>
          <w:rFonts w:ascii="Times New Roman" w:hAnsi="Times New Roman" w:cs="Times New Roman"/>
          <w:sz w:val="20"/>
          <w:szCs w:val="20"/>
        </w:rPr>
        <w:t xml:space="preserve">quelli di cui al </w:t>
      </w:r>
      <w:r w:rsidR="0027089A">
        <w:rPr>
          <w:rFonts w:ascii="Times New Roman" w:hAnsi="Times New Roman" w:cs="Times New Roman"/>
          <w:sz w:val="20"/>
          <w:szCs w:val="20"/>
        </w:rPr>
        <w:t>D.</w:t>
      </w:r>
      <w:r>
        <w:rPr>
          <w:rFonts w:ascii="Times New Roman" w:hAnsi="Times New Roman" w:cs="Times New Roman"/>
          <w:sz w:val="20"/>
          <w:szCs w:val="20"/>
        </w:rPr>
        <w:t>Lgs</w:t>
      </w:r>
      <w:r w:rsidRPr="00CD7FBE">
        <w:rPr>
          <w:rFonts w:ascii="Times New Roman" w:hAnsi="Times New Roman" w:cs="Times New Roman"/>
          <w:sz w:val="20"/>
          <w:szCs w:val="20"/>
        </w:rPr>
        <w:t>. n. 50/2016 dovranno essere tradotti nel Piano della Performance in obiettivi organizzativi ed indivi</w:t>
      </w:r>
      <w:r w:rsidR="00271047">
        <w:rPr>
          <w:rFonts w:ascii="Times New Roman" w:hAnsi="Times New Roman" w:cs="Times New Roman"/>
          <w:sz w:val="20"/>
          <w:szCs w:val="20"/>
        </w:rPr>
        <w:t>duali assegnati agli uffici, al Direttore ed ai Responsabili di Settore</w:t>
      </w:r>
      <w:r w:rsidRPr="00CD7FBE">
        <w:rPr>
          <w:rFonts w:ascii="Times New Roman" w:hAnsi="Times New Roman" w:cs="Times New Roman"/>
          <w:sz w:val="20"/>
          <w:szCs w:val="20"/>
        </w:rPr>
        <w:t xml:space="preserve">/Ufficio di Staff. Saranno, inoltre, inseriti due ulteriori obiettivi organizzativi trasversali: </w:t>
      </w:r>
    </w:p>
    <w:p w14:paraId="657B6F40" w14:textId="621E8C1B"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CD7FBE">
        <w:rPr>
          <w:rFonts w:ascii="Times New Roman" w:hAnsi="Times New Roman" w:cs="Times New Roman"/>
          <w:sz w:val="20"/>
          <w:szCs w:val="20"/>
        </w:rPr>
        <w:t>-</w:t>
      </w:r>
      <w:r w:rsidRPr="00CD7FBE">
        <w:rPr>
          <w:rFonts w:ascii="Times New Roman" w:hAnsi="Times New Roman" w:cs="Times New Roman"/>
          <w:sz w:val="20"/>
          <w:szCs w:val="20"/>
        </w:rPr>
        <w:tab/>
      </w:r>
      <w:r w:rsidRPr="0070096C">
        <w:rPr>
          <w:rFonts w:ascii="Times New Roman" w:hAnsi="Times New Roman" w:cs="Times New Roman"/>
          <w:i/>
          <w:sz w:val="20"/>
          <w:szCs w:val="20"/>
        </w:rPr>
        <w:t>perseguire efficienza, efficacia, trasparenza e semplificazione dell'azione amministrativa tramite l’applicazione ragionata ed efficace delle previsioni normative sui controlli e della legge anticorruzione (legge 190/2012), al fine di conseguire l'aumento del livello di consapevolezza dei doveri e delle responsabilità della società da parte della struttura interna, l'incremento significativo della qualità dell'azione amministrativa e del livello di trasparenza nell'attività propria;</w:t>
      </w:r>
    </w:p>
    <w:p w14:paraId="4B67D459" w14:textId="65B8D1C7" w:rsidR="00603F3F" w:rsidRPr="0070096C" w:rsidRDefault="00603F3F" w:rsidP="00603F3F">
      <w:pPr>
        <w:pStyle w:val="Default"/>
        <w:widowControl w:val="0"/>
        <w:spacing w:line="276" w:lineRule="auto"/>
        <w:ind w:left="284" w:hanging="284"/>
        <w:jc w:val="both"/>
        <w:rPr>
          <w:rFonts w:ascii="Times New Roman" w:hAnsi="Times New Roman" w:cs="Times New Roman"/>
          <w:i/>
          <w:sz w:val="20"/>
          <w:szCs w:val="20"/>
        </w:rPr>
      </w:pPr>
      <w:r w:rsidRPr="0070096C">
        <w:rPr>
          <w:rFonts w:ascii="Times New Roman" w:hAnsi="Times New Roman" w:cs="Times New Roman"/>
          <w:i/>
          <w:sz w:val="20"/>
          <w:szCs w:val="20"/>
        </w:rPr>
        <w:t>-</w:t>
      </w:r>
      <w:r w:rsidRPr="0070096C">
        <w:rPr>
          <w:rFonts w:ascii="Times New Roman" w:hAnsi="Times New Roman" w:cs="Times New Roman"/>
          <w:i/>
          <w:sz w:val="20"/>
          <w:szCs w:val="20"/>
        </w:rPr>
        <w:tab/>
        <w:t xml:space="preserve">promuovere l’innovazione, l’efficienza organizzativa e la trasparenza quali strumenti di prevenzione della corruzione anche migliorando la qualità dell’accesso alle informazioni della società mediante l’utilizzo di strumenti avanzati di comunicazione con le amministrazioni e gli stakeholder. </w:t>
      </w:r>
    </w:p>
    <w:p w14:paraId="5FEB4034" w14:textId="77777777" w:rsidR="00603F3F" w:rsidRPr="00CD7FBE" w:rsidRDefault="00603F3F" w:rsidP="00603F3F">
      <w:pPr>
        <w:widowControl w:val="0"/>
        <w:spacing w:after="0"/>
        <w:rPr>
          <w:rFonts w:ascii="Times New Roman" w:hAnsi="Times New Roman"/>
          <w:color w:val="000000"/>
          <w:sz w:val="20"/>
          <w:szCs w:val="20"/>
        </w:rPr>
      </w:pPr>
    </w:p>
    <w:p w14:paraId="5F0B040C" w14:textId="77777777" w:rsidR="00603F3F" w:rsidRPr="0027089A" w:rsidRDefault="00603F3F" w:rsidP="00603F3F">
      <w:pPr>
        <w:pStyle w:val="Titolo2"/>
        <w:keepNext w:val="0"/>
        <w:spacing w:line="276" w:lineRule="auto"/>
        <w:ind w:left="284" w:hanging="284"/>
        <w:rPr>
          <w:color w:val="0070C0"/>
        </w:rPr>
      </w:pPr>
      <w:bookmarkStart w:id="1327" w:name="_Toc499881397"/>
      <w:bookmarkStart w:id="1328" w:name="_Toc535854492"/>
      <w:bookmarkStart w:id="1329" w:name="_Toc418505963"/>
      <w:bookmarkStart w:id="1330" w:name="_Toc454796262"/>
      <w:bookmarkStart w:id="1331" w:name="_Toc454796324"/>
      <w:bookmarkStart w:id="1332" w:name="_Toc471996565"/>
      <w:r w:rsidRPr="0027089A">
        <w:rPr>
          <w:color w:val="0070C0"/>
        </w:rPr>
        <w:t>Regolamento sull’accesso agli atti</w:t>
      </w:r>
      <w:bookmarkEnd w:id="1327"/>
      <w:r w:rsidRPr="0027089A">
        <w:rPr>
          <w:color w:val="0070C0"/>
        </w:rPr>
        <w:t xml:space="preserve"> </w:t>
      </w:r>
      <w:bookmarkEnd w:id="1007"/>
      <w:r w:rsidRPr="0027089A">
        <w:rPr>
          <w:color w:val="0070C0"/>
        </w:rPr>
        <w:t>e documenti aziendali</w:t>
      </w:r>
      <w:bookmarkEnd w:id="1328"/>
    </w:p>
    <w:p w14:paraId="44A7358C" w14:textId="161C6CCD" w:rsidR="00603F3F" w:rsidRPr="00473D34" w:rsidRDefault="00603F3F" w:rsidP="00603F3F">
      <w:pPr>
        <w:widowControl w:val="0"/>
        <w:spacing w:after="0"/>
        <w:jc w:val="both"/>
        <w:rPr>
          <w:rFonts w:ascii="Times New Roman" w:hAnsi="Times New Roman"/>
          <w:sz w:val="20"/>
          <w:szCs w:val="20"/>
        </w:rPr>
      </w:pPr>
      <w:r>
        <w:rPr>
          <w:rFonts w:ascii="Times New Roman" w:hAnsi="Times New Roman"/>
          <w:sz w:val="20"/>
          <w:szCs w:val="20"/>
        </w:rPr>
        <w:t>In esecuzione a quanto stabilito dall’AN</w:t>
      </w:r>
      <w:r w:rsidRPr="00CD7FBE">
        <w:rPr>
          <w:rFonts w:ascii="Times New Roman" w:hAnsi="Times New Roman"/>
          <w:sz w:val="20"/>
          <w:szCs w:val="20"/>
        </w:rPr>
        <w:t>AC</w:t>
      </w:r>
      <w:r>
        <w:rPr>
          <w:rFonts w:ascii="Times New Roman" w:hAnsi="Times New Roman"/>
          <w:sz w:val="20"/>
          <w:szCs w:val="20"/>
        </w:rPr>
        <w:t xml:space="preserve"> con d</w:t>
      </w:r>
      <w:r w:rsidRPr="00CD7FBE">
        <w:rPr>
          <w:rFonts w:ascii="Times New Roman" w:hAnsi="Times New Roman"/>
          <w:sz w:val="20"/>
          <w:szCs w:val="20"/>
        </w:rPr>
        <w:t>elibe</w:t>
      </w:r>
      <w:r>
        <w:rPr>
          <w:rFonts w:ascii="Times New Roman" w:hAnsi="Times New Roman"/>
          <w:sz w:val="20"/>
          <w:szCs w:val="20"/>
        </w:rPr>
        <w:t xml:space="preserve">ra n. 1309 del 28 dicembre 2016 la società ha adottato il </w:t>
      </w:r>
      <w:r w:rsidRPr="0052364D">
        <w:rPr>
          <w:rFonts w:ascii="Times New Roman" w:hAnsi="Times New Roman"/>
          <w:b/>
          <w:sz w:val="20"/>
          <w:szCs w:val="20"/>
        </w:rPr>
        <w:t>“</w:t>
      </w:r>
      <w:r w:rsidRPr="0052364D">
        <w:rPr>
          <w:rFonts w:ascii="Times New Roman" w:hAnsi="Times New Roman"/>
          <w:b/>
          <w:i/>
          <w:sz w:val="20"/>
          <w:szCs w:val="20"/>
        </w:rPr>
        <w:t>Regolamento sull’accesso agli atti e documenti aziendali</w:t>
      </w:r>
      <w:r w:rsidRPr="0052364D">
        <w:rPr>
          <w:rFonts w:ascii="Times New Roman" w:hAnsi="Times New Roman"/>
          <w:b/>
          <w:sz w:val="20"/>
          <w:szCs w:val="20"/>
        </w:rPr>
        <w:t xml:space="preserve">” </w:t>
      </w:r>
      <w:r w:rsidRPr="0052364D">
        <w:rPr>
          <w:rFonts w:ascii="Times New Roman" w:hAnsi="Times New Roman"/>
          <w:sz w:val="20"/>
          <w:szCs w:val="20"/>
        </w:rPr>
        <w:t>avente</w:t>
      </w:r>
      <w:r>
        <w:rPr>
          <w:rFonts w:ascii="Times New Roman" w:hAnsi="Times New Roman"/>
          <w:sz w:val="20"/>
          <w:szCs w:val="20"/>
        </w:rPr>
        <w:t xml:space="preserve"> ad oggetto la</w:t>
      </w:r>
      <w:r w:rsidRPr="00473D34">
        <w:rPr>
          <w:rFonts w:ascii="Times New Roman" w:hAnsi="Times New Roman"/>
          <w:sz w:val="20"/>
          <w:szCs w:val="20"/>
        </w:rPr>
        <w:t xml:space="preserve"> disciplina</w:t>
      </w:r>
      <w:r>
        <w:rPr>
          <w:rFonts w:ascii="Times New Roman" w:hAnsi="Times New Roman"/>
          <w:sz w:val="20"/>
          <w:szCs w:val="20"/>
        </w:rPr>
        <w:t>,</w:t>
      </w:r>
      <w:r w:rsidRPr="00473D34">
        <w:rPr>
          <w:rFonts w:ascii="Times New Roman" w:hAnsi="Times New Roman"/>
          <w:sz w:val="20"/>
          <w:szCs w:val="20"/>
        </w:rPr>
        <w:t xml:space="preserve"> i criteri e le modalità organizzative per l’effettivo esercizio dei seguenti diritti:</w:t>
      </w:r>
    </w:p>
    <w:p w14:paraId="5DBE18FE" w14:textId="77777777" w:rsidR="00603F3F" w:rsidRPr="0070096C" w:rsidRDefault="00603F3F" w:rsidP="00603F3F">
      <w:pPr>
        <w:widowControl w:val="0"/>
        <w:spacing w:after="0"/>
        <w:ind w:left="284" w:hanging="284"/>
        <w:jc w:val="both"/>
        <w:rPr>
          <w:rFonts w:ascii="Times New Roman" w:hAnsi="Times New Roman"/>
          <w:i/>
          <w:sz w:val="20"/>
          <w:szCs w:val="20"/>
        </w:rPr>
      </w:pPr>
      <w:r>
        <w:rPr>
          <w:rFonts w:ascii="Times New Roman" w:hAnsi="Times New Roman"/>
          <w:sz w:val="20"/>
          <w:szCs w:val="20"/>
        </w:rPr>
        <w:t>a)</w:t>
      </w:r>
      <w:r>
        <w:rPr>
          <w:rFonts w:ascii="Times New Roman" w:hAnsi="Times New Roman"/>
          <w:sz w:val="20"/>
          <w:szCs w:val="20"/>
        </w:rPr>
        <w:tab/>
      </w:r>
      <w:r w:rsidRPr="0070096C">
        <w:rPr>
          <w:rFonts w:ascii="Times New Roman" w:hAnsi="Times New Roman"/>
          <w:i/>
          <w:sz w:val="20"/>
          <w:szCs w:val="20"/>
          <w:u w:val="single"/>
        </w:rPr>
        <w:t>Accesso documentale</w:t>
      </w:r>
      <w:r w:rsidRPr="0070096C">
        <w:rPr>
          <w:rFonts w:ascii="Times New Roman" w:hAnsi="Times New Roman"/>
          <w:i/>
          <w:sz w:val="20"/>
          <w:szCs w:val="20"/>
        </w:rPr>
        <w:t>, disciplinato dal capo V della legge 241/1990 ed oggetto della Sezione II del suddetto Regolamento;</w:t>
      </w:r>
    </w:p>
    <w:p w14:paraId="60D1C002" w14:textId="77777777"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i/>
          <w:sz w:val="20"/>
          <w:szCs w:val="20"/>
        </w:rPr>
        <w:t>b)</w:t>
      </w:r>
      <w:r w:rsidRPr="0070096C">
        <w:rPr>
          <w:rFonts w:ascii="Times New Roman" w:hAnsi="Times New Roman"/>
          <w:i/>
          <w:sz w:val="20"/>
          <w:szCs w:val="20"/>
        </w:rPr>
        <w:tab/>
      </w:r>
      <w:r w:rsidRPr="0070096C">
        <w:rPr>
          <w:rFonts w:ascii="Times New Roman" w:hAnsi="Times New Roman"/>
          <w:i/>
          <w:sz w:val="20"/>
          <w:szCs w:val="20"/>
          <w:u w:val="single"/>
        </w:rPr>
        <w:t>Accesso civico</w:t>
      </w:r>
      <w:r w:rsidRPr="0070096C">
        <w:rPr>
          <w:rFonts w:ascii="Times New Roman" w:hAnsi="Times New Roman"/>
          <w:i/>
          <w:sz w:val="20"/>
          <w:szCs w:val="20"/>
        </w:rPr>
        <w:t>, ovvero l'accesso di cui all'art. 5, comma 1, del D. Lgs. 33/2013 (Decreto Trasparenza), che sancisce il diritto di chiunque di richiedere i documenti, le informazioni o i dati che l’ente abbia omesso di pubblicare pur avendone l’obbligo ai sensi del decreto trasparenza. Questa tipologia di accesso è il contenuto della Sezione III del suddetto Regolamento;</w:t>
      </w:r>
    </w:p>
    <w:p w14:paraId="69BFF09B" w14:textId="77777777" w:rsidR="00603F3F" w:rsidRPr="0070096C" w:rsidRDefault="00603F3F" w:rsidP="00603F3F">
      <w:pPr>
        <w:widowControl w:val="0"/>
        <w:spacing w:after="0"/>
        <w:ind w:left="284" w:hanging="284"/>
        <w:jc w:val="both"/>
        <w:rPr>
          <w:rFonts w:ascii="Times New Roman" w:hAnsi="Times New Roman"/>
          <w:i/>
          <w:sz w:val="20"/>
          <w:szCs w:val="20"/>
        </w:rPr>
      </w:pPr>
      <w:r w:rsidRPr="0070096C">
        <w:rPr>
          <w:rFonts w:ascii="Times New Roman" w:hAnsi="Times New Roman"/>
          <w:i/>
          <w:sz w:val="20"/>
          <w:szCs w:val="20"/>
        </w:rPr>
        <w:t>c)</w:t>
      </w:r>
      <w:r w:rsidRPr="0070096C">
        <w:rPr>
          <w:rFonts w:ascii="Times New Roman" w:hAnsi="Times New Roman"/>
          <w:i/>
          <w:sz w:val="20"/>
          <w:szCs w:val="20"/>
        </w:rPr>
        <w:tab/>
      </w:r>
      <w:r w:rsidRPr="0070096C">
        <w:rPr>
          <w:rFonts w:ascii="Times New Roman" w:hAnsi="Times New Roman"/>
          <w:i/>
          <w:sz w:val="20"/>
          <w:szCs w:val="20"/>
          <w:u w:val="single"/>
        </w:rPr>
        <w:t>Accesso generalizzato</w:t>
      </w:r>
      <w:r w:rsidRPr="0070096C">
        <w:rPr>
          <w:rFonts w:ascii="Times New Roman" w:hAnsi="Times New Roman"/>
          <w:i/>
          <w:sz w:val="20"/>
          <w:szCs w:val="20"/>
        </w:rPr>
        <w:t>, che si riferisce all'accesso di cui all'art. 5, comma 2, del D. Lgs. 33/2013, e che comporta il diritto di chiunque di accedere a dati, documenti ed informazioni detenuti dall’ente, ulteriori rispetto a quelli sottoposti ad obbligo di pubblicazione, ad esclusione di quelli sottoposti al regime di riservatezza. Questa tipologia di accesso è il contenuto della Sezione IV del suddetto Regolamento.</w:t>
      </w:r>
    </w:p>
    <w:p w14:paraId="037E4906" w14:textId="73F5D35E" w:rsidR="00603F3F" w:rsidRPr="0070096C" w:rsidRDefault="00603F3F" w:rsidP="00603F3F">
      <w:pPr>
        <w:widowControl w:val="0"/>
        <w:spacing w:after="0"/>
        <w:jc w:val="both"/>
        <w:rPr>
          <w:rFonts w:ascii="Times New Roman" w:hAnsi="Times New Roman"/>
          <w:i/>
          <w:sz w:val="20"/>
          <w:szCs w:val="20"/>
        </w:rPr>
      </w:pPr>
      <w:r w:rsidRPr="0070096C">
        <w:rPr>
          <w:rFonts w:ascii="Times New Roman" w:hAnsi="Times New Roman"/>
          <w:i/>
          <w:sz w:val="20"/>
          <w:szCs w:val="20"/>
        </w:rPr>
        <w:t>Il Regolamento è pubblicato nella sezione società Trasparente del sito internet aziendale.</w:t>
      </w:r>
      <w:bookmarkEnd w:id="1329"/>
      <w:bookmarkEnd w:id="1330"/>
      <w:bookmarkEnd w:id="1331"/>
      <w:bookmarkEnd w:id="1332"/>
    </w:p>
    <w:p w14:paraId="6282FF9A" w14:textId="77777777" w:rsidR="00603F3F" w:rsidRPr="00CD7FBE" w:rsidRDefault="00603F3F" w:rsidP="00603F3F">
      <w:pPr>
        <w:widowControl w:val="0"/>
        <w:spacing w:after="0"/>
        <w:jc w:val="both"/>
        <w:rPr>
          <w:rFonts w:ascii="Times New Roman" w:hAnsi="Times New Roman"/>
          <w:sz w:val="20"/>
          <w:szCs w:val="20"/>
        </w:rPr>
      </w:pPr>
    </w:p>
    <w:p w14:paraId="56949D85" w14:textId="77777777" w:rsidR="00603F3F" w:rsidRPr="0027089A" w:rsidRDefault="00603F3F" w:rsidP="00603F3F">
      <w:pPr>
        <w:pStyle w:val="Titolo2"/>
        <w:keepNext w:val="0"/>
        <w:spacing w:line="276" w:lineRule="auto"/>
        <w:ind w:left="284" w:hanging="284"/>
        <w:rPr>
          <w:color w:val="0070C0"/>
        </w:rPr>
      </w:pPr>
      <w:bookmarkStart w:id="1333" w:name="_Toc535854493"/>
      <w:r w:rsidRPr="0027089A">
        <w:rPr>
          <w:color w:val="0070C0"/>
        </w:rPr>
        <w:t>Le giornate della trasparenza</w:t>
      </w:r>
      <w:bookmarkEnd w:id="1333"/>
    </w:p>
    <w:p w14:paraId="478E1F19" w14:textId="4E6DD19A" w:rsidR="004753E0" w:rsidRPr="004753E0" w:rsidRDefault="00603F3F" w:rsidP="00603F3F">
      <w:pPr>
        <w:widowControl w:val="0"/>
        <w:spacing w:after="0"/>
        <w:jc w:val="both"/>
        <w:rPr>
          <w:rFonts w:ascii="Times New Roman" w:hAnsi="Times New Roman"/>
          <w:color w:val="000000"/>
          <w:sz w:val="20"/>
          <w:szCs w:val="20"/>
        </w:rPr>
      </w:pPr>
      <w:r w:rsidRPr="00CD7FBE">
        <w:rPr>
          <w:rFonts w:ascii="Times New Roman" w:hAnsi="Times New Roman"/>
          <w:color w:val="000000"/>
          <w:sz w:val="20"/>
          <w:szCs w:val="20"/>
        </w:rPr>
        <w:t xml:space="preserve">Le Giornate della trasparenza sono uno strumento di partecipazione previsto dall’art. 10, co. 6 del </w:t>
      </w:r>
      <w:r>
        <w:rPr>
          <w:rFonts w:ascii="Times New Roman" w:hAnsi="Times New Roman"/>
          <w:color w:val="000000"/>
          <w:sz w:val="20"/>
          <w:szCs w:val="20"/>
        </w:rPr>
        <w:t>D. Lgs</w:t>
      </w:r>
      <w:r w:rsidRPr="00CD7FBE">
        <w:rPr>
          <w:rFonts w:ascii="Times New Roman" w:hAnsi="Times New Roman"/>
          <w:color w:val="000000"/>
          <w:sz w:val="20"/>
          <w:szCs w:val="20"/>
        </w:rPr>
        <w:t>. 33/2013</w:t>
      </w:r>
      <w:r w:rsidRPr="00CD7FBE">
        <w:rPr>
          <w:rStyle w:val="Rimandonotadichiusura"/>
          <w:rFonts w:ascii="Times New Roman" w:hAnsi="Times New Roman"/>
          <w:color w:val="000000"/>
          <w:sz w:val="20"/>
          <w:szCs w:val="20"/>
        </w:rPr>
        <w:endnoteReference w:id="89"/>
      </w:r>
      <w:r w:rsidRPr="00CD7FBE">
        <w:rPr>
          <w:rFonts w:ascii="Times New Roman" w:hAnsi="Times New Roman"/>
          <w:color w:val="000000"/>
          <w:sz w:val="20"/>
          <w:szCs w:val="20"/>
        </w:rPr>
        <w:t xml:space="preserve"> ai sensi del quale ogni </w:t>
      </w:r>
      <w:r>
        <w:rPr>
          <w:rFonts w:ascii="Times New Roman" w:hAnsi="Times New Roman"/>
          <w:color w:val="000000"/>
          <w:sz w:val="20"/>
          <w:szCs w:val="20"/>
        </w:rPr>
        <w:t>ente</w:t>
      </w:r>
      <w:r w:rsidRPr="00CD7FBE">
        <w:rPr>
          <w:rFonts w:ascii="Times New Roman" w:hAnsi="Times New Roman"/>
          <w:color w:val="000000"/>
          <w:sz w:val="20"/>
          <w:szCs w:val="20"/>
        </w:rPr>
        <w:t xml:space="preserve"> presenta, alle associazioni di consumatori o utenti, ai centri di ricerca e a ogni altro osservatore qualificato, il Piano e la Relazione sulla performance di cui al comma 1 dell’articolo 10 del </w:t>
      </w:r>
      <w:r>
        <w:rPr>
          <w:rFonts w:ascii="Times New Roman" w:hAnsi="Times New Roman"/>
          <w:color w:val="000000"/>
          <w:sz w:val="20"/>
          <w:szCs w:val="20"/>
        </w:rPr>
        <w:t>D. Lgs</w:t>
      </w:r>
      <w:r w:rsidRPr="00CD7FBE">
        <w:rPr>
          <w:rFonts w:ascii="Times New Roman" w:hAnsi="Times New Roman"/>
          <w:color w:val="000000"/>
          <w:sz w:val="20"/>
          <w:szCs w:val="20"/>
        </w:rPr>
        <w:t>. n. 150 del 2009</w:t>
      </w:r>
      <w:r w:rsidRPr="00CD7FBE">
        <w:rPr>
          <w:rStyle w:val="Rimandonotadichiusura"/>
          <w:rFonts w:ascii="Times New Roman" w:hAnsi="Times New Roman"/>
          <w:color w:val="000000"/>
          <w:sz w:val="20"/>
          <w:szCs w:val="20"/>
        </w:rPr>
        <w:endnoteReference w:id="90"/>
      </w:r>
      <w:r w:rsidRPr="00CD7FBE">
        <w:rPr>
          <w:rFonts w:ascii="Times New Roman" w:hAnsi="Times New Roman"/>
          <w:color w:val="000000"/>
          <w:sz w:val="20"/>
          <w:szCs w:val="20"/>
        </w:rPr>
        <w:t>.</w:t>
      </w:r>
      <w:bookmarkStart w:id="1334" w:name="_Toc410232852"/>
      <w:bookmarkStart w:id="1335" w:name="_Toc418505964"/>
      <w:bookmarkStart w:id="1336" w:name="_Toc454796263"/>
      <w:bookmarkStart w:id="1337" w:name="_Toc454796325"/>
      <w:bookmarkStart w:id="1338" w:name="_Toc471996566"/>
      <w:r w:rsidR="00C61C01" w:rsidRPr="00CD7FBE">
        <w:rPr>
          <w:rFonts w:ascii="Times New Roman" w:hAnsi="Times New Roman"/>
          <w:color w:val="000000"/>
          <w:sz w:val="20"/>
          <w:szCs w:val="20"/>
        </w:rPr>
        <w:t xml:space="preserve"> </w:t>
      </w:r>
      <w:bookmarkEnd w:id="1334"/>
      <w:bookmarkEnd w:id="1335"/>
      <w:bookmarkEnd w:id="1336"/>
      <w:bookmarkEnd w:id="1337"/>
      <w:bookmarkEnd w:id="1338"/>
      <w:r w:rsidR="007E092F" w:rsidRPr="00340066">
        <w:rPr>
          <w:rFonts w:ascii="Times New Roman" w:hAnsi="Times New Roman"/>
          <w:color w:val="000000"/>
          <w:sz w:val="20"/>
          <w:szCs w:val="20"/>
        </w:rPr>
        <w:t xml:space="preserve">Entro il 31 dicembre </w:t>
      </w:r>
      <w:r w:rsidR="00D643DD">
        <w:rPr>
          <w:rFonts w:ascii="Times New Roman" w:hAnsi="Times New Roman"/>
          <w:color w:val="000000"/>
          <w:sz w:val="20"/>
          <w:szCs w:val="20"/>
        </w:rPr>
        <w:t>201</w:t>
      </w:r>
      <w:r w:rsidR="00362CF5">
        <w:rPr>
          <w:rFonts w:ascii="Times New Roman" w:hAnsi="Times New Roman"/>
          <w:color w:val="000000"/>
          <w:sz w:val="20"/>
          <w:szCs w:val="20"/>
        </w:rPr>
        <w:t>9</w:t>
      </w:r>
      <w:r w:rsidR="00D643DD">
        <w:rPr>
          <w:rFonts w:ascii="Times New Roman" w:hAnsi="Times New Roman"/>
          <w:color w:val="000000"/>
          <w:sz w:val="20"/>
          <w:szCs w:val="20"/>
        </w:rPr>
        <w:t xml:space="preserve"> </w:t>
      </w:r>
      <w:r w:rsidR="007E092F" w:rsidRPr="00340066">
        <w:rPr>
          <w:rFonts w:ascii="Times New Roman" w:hAnsi="Times New Roman"/>
          <w:color w:val="000000"/>
          <w:sz w:val="20"/>
          <w:szCs w:val="20"/>
        </w:rPr>
        <w:t xml:space="preserve">si terrà la “Giornata della Trasparenza” avente quale obiettivo quello di informare su quanto realizzato dalla </w:t>
      </w:r>
      <w:r w:rsidR="00362CF5">
        <w:rPr>
          <w:rFonts w:ascii="Times New Roman" w:hAnsi="Times New Roman"/>
          <w:color w:val="000000"/>
          <w:sz w:val="20"/>
          <w:szCs w:val="20"/>
        </w:rPr>
        <w:t>società</w:t>
      </w:r>
      <w:r w:rsidR="00362CF5" w:rsidRPr="00340066">
        <w:rPr>
          <w:rFonts w:ascii="Times New Roman" w:hAnsi="Times New Roman"/>
          <w:color w:val="000000"/>
          <w:sz w:val="20"/>
          <w:szCs w:val="20"/>
        </w:rPr>
        <w:t xml:space="preserve"> </w:t>
      </w:r>
      <w:r w:rsidR="007E092F" w:rsidRPr="00340066">
        <w:rPr>
          <w:rFonts w:ascii="Times New Roman" w:hAnsi="Times New Roman"/>
          <w:color w:val="000000"/>
          <w:sz w:val="20"/>
          <w:szCs w:val="20"/>
        </w:rPr>
        <w:t xml:space="preserve">in tema di </w:t>
      </w:r>
      <w:r w:rsidR="00824BE1">
        <w:rPr>
          <w:rFonts w:ascii="Times New Roman" w:hAnsi="Times New Roman"/>
          <w:color w:val="000000"/>
          <w:sz w:val="20"/>
          <w:szCs w:val="20"/>
        </w:rPr>
        <w:t>t</w:t>
      </w:r>
      <w:r w:rsidR="007E092F" w:rsidRPr="00340066">
        <w:rPr>
          <w:rFonts w:ascii="Times New Roman" w:hAnsi="Times New Roman"/>
          <w:color w:val="000000"/>
          <w:sz w:val="20"/>
          <w:szCs w:val="20"/>
        </w:rPr>
        <w:t xml:space="preserve">rasparenza e </w:t>
      </w:r>
      <w:r w:rsidR="00824BE1">
        <w:rPr>
          <w:rFonts w:ascii="Times New Roman" w:hAnsi="Times New Roman"/>
          <w:color w:val="000000"/>
          <w:sz w:val="20"/>
          <w:szCs w:val="20"/>
        </w:rPr>
        <w:t>p</w:t>
      </w:r>
      <w:r w:rsidR="007E092F" w:rsidRPr="00340066">
        <w:rPr>
          <w:rFonts w:ascii="Times New Roman" w:hAnsi="Times New Roman"/>
          <w:color w:val="000000"/>
          <w:sz w:val="20"/>
          <w:szCs w:val="20"/>
        </w:rPr>
        <w:t xml:space="preserve">revenzione della </w:t>
      </w:r>
      <w:r w:rsidR="00824BE1">
        <w:rPr>
          <w:rFonts w:ascii="Times New Roman" w:hAnsi="Times New Roman"/>
          <w:color w:val="000000"/>
          <w:sz w:val="20"/>
          <w:szCs w:val="20"/>
        </w:rPr>
        <w:t>c</w:t>
      </w:r>
      <w:r w:rsidR="007E092F" w:rsidRPr="00340066">
        <w:rPr>
          <w:rFonts w:ascii="Times New Roman" w:hAnsi="Times New Roman"/>
          <w:color w:val="000000"/>
          <w:sz w:val="20"/>
          <w:szCs w:val="20"/>
        </w:rPr>
        <w:t xml:space="preserve">orruzione, </w:t>
      </w:r>
      <w:r w:rsidR="00A15B49">
        <w:rPr>
          <w:rFonts w:ascii="Times New Roman" w:hAnsi="Times New Roman"/>
          <w:color w:val="000000"/>
          <w:sz w:val="20"/>
          <w:szCs w:val="20"/>
        </w:rPr>
        <w:t xml:space="preserve">nel corso della quale saranno presentate </w:t>
      </w:r>
      <w:r w:rsidR="00824BE1" w:rsidRPr="00824BE1">
        <w:rPr>
          <w:rFonts w:ascii="Times New Roman" w:hAnsi="Times New Roman"/>
          <w:color w:val="000000"/>
          <w:sz w:val="20"/>
          <w:szCs w:val="20"/>
        </w:rPr>
        <w:t>la bozza del</w:t>
      </w:r>
      <w:r w:rsidR="007E092F" w:rsidRPr="00340066">
        <w:rPr>
          <w:rFonts w:ascii="Times New Roman" w:hAnsi="Times New Roman"/>
          <w:color w:val="000000"/>
          <w:sz w:val="20"/>
          <w:szCs w:val="20"/>
        </w:rPr>
        <w:t xml:space="preserve"> Piano Triennale per la Prevenzione della Corruzione e della Trasparenza (PTPCT)</w:t>
      </w:r>
      <w:r w:rsidR="00824BE1">
        <w:rPr>
          <w:rFonts w:ascii="Times New Roman" w:hAnsi="Times New Roman"/>
          <w:color w:val="000000"/>
          <w:sz w:val="20"/>
          <w:szCs w:val="20"/>
        </w:rPr>
        <w:t xml:space="preserve"> 2019 - 2021</w:t>
      </w:r>
      <w:r w:rsidR="007E092F">
        <w:rPr>
          <w:rFonts w:ascii="Times New Roman" w:hAnsi="Times New Roman"/>
          <w:color w:val="000000"/>
          <w:sz w:val="20"/>
          <w:szCs w:val="20"/>
        </w:rPr>
        <w:t xml:space="preserve"> e</w:t>
      </w:r>
      <w:r w:rsidR="00EE2D19">
        <w:rPr>
          <w:rFonts w:ascii="Times New Roman" w:hAnsi="Times New Roman"/>
          <w:color w:val="000000"/>
          <w:sz w:val="20"/>
          <w:szCs w:val="20"/>
        </w:rPr>
        <w:t xml:space="preserve"> l’eventuale</w:t>
      </w:r>
      <w:r w:rsidR="007E092F" w:rsidRPr="00340066">
        <w:rPr>
          <w:rFonts w:ascii="Times New Roman" w:hAnsi="Times New Roman"/>
          <w:color w:val="000000"/>
          <w:sz w:val="20"/>
          <w:szCs w:val="20"/>
        </w:rPr>
        <w:t xml:space="preserve"> c</w:t>
      </w:r>
      <w:r w:rsidR="007E092F" w:rsidRPr="007E092F">
        <w:rPr>
          <w:rFonts w:ascii="Times New Roman" w:hAnsi="Times New Roman"/>
          <w:color w:val="000000"/>
          <w:sz w:val="20"/>
          <w:szCs w:val="20"/>
        </w:rPr>
        <w:t>ertificazione</w:t>
      </w:r>
      <w:r w:rsidR="00824BE1">
        <w:rPr>
          <w:rFonts w:ascii="Times New Roman" w:hAnsi="Times New Roman"/>
          <w:color w:val="000000"/>
          <w:sz w:val="20"/>
          <w:szCs w:val="20"/>
        </w:rPr>
        <w:t xml:space="preserve"> secondo lo standard</w:t>
      </w:r>
      <w:r w:rsidR="007E092F" w:rsidRPr="007E092F">
        <w:rPr>
          <w:rFonts w:ascii="Times New Roman" w:hAnsi="Times New Roman"/>
          <w:color w:val="000000"/>
          <w:sz w:val="20"/>
          <w:szCs w:val="20"/>
        </w:rPr>
        <w:t xml:space="preserve"> “UNI-ISO 37001 – S</w:t>
      </w:r>
      <w:r w:rsidR="007E092F" w:rsidRPr="00340066">
        <w:rPr>
          <w:rFonts w:ascii="Times New Roman" w:hAnsi="Times New Roman"/>
          <w:color w:val="000000"/>
          <w:sz w:val="20"/>
          <w:szCs w:val="20"/>
        </w:rPr>
        <w:t>istemi di gestione per la prevenzione della corruzione”</w:t>
      </w:r>
      <w:r w:rsidR="00A15B49">
        <w:rPr>
          <w:rFonts w:ascii="Times New Roman" w:hAnsi="Times New Roman"/>
          <w:color w:val="000000"/>
          <w:sz w:val="20"/>
          <w:szCs w:val="20"/>
        </w:rPr>
        <w:t>,</w:t>
      </w:r>
      <w:r w:rsidR="007E092F" w:rsidRPr="00340066">
        <w:rPr>
          <w:rFonts w:ascii="Times New Roman" w:hAnsi="Times New Roman"/>
          <w:color w:val="000000"/>
          <w:sz w:val="20"/>
          <w:szCs w:val="20"/>
        </w:rPr>
        <w:t xml:space="preserve"> che consente un migliore controllo sui rischi di corruzione (attiva e passiva) derivanti dall</w:t>
      </w:r>
      <w:r w:rsidR="004753E0" w:rsidRPr="004753E0">
        <w:rPr>
          <w:rFonts w:ascii="Times New Roman" w:hAnsi="Times New Roman"/>
          <w:color w:val="000000"/>
          <w:sz w:val="20"/>
          <w:szCs w:val="20"/>
        </w:rPr>
        <w:t xml:space="preserve">e attività dell’organizzazione ed infine saranno fornite </w:t>
      </w:r>
      <w:r w:rsidR="007E092F" w:rsidRPr="00340066">
        <w:rPr>
          <w:rFonts w:ascii="Times New Roman" w:hAnsi="Times New Roman"/>
          <w:color w:val="000000"/>
          <w:sz w:val="20"/>
          <w:szCs w:val="20"/>
        </w:rPr>
        <w:t>i</w:t>
      </w:r>
      <w:r w:rsidR="00824BE1" w:rsidRPr="00824BE1">
        <w:rPr>
          <w:rFonts w:ascii="Times New Roman" w:hAnsi="Times New Roman"/>
          <w:color w:val="000000"/>
          <w:sz w:val="20"/>
          <w:szCs w:val="20"/>
        </w:rPr>
        <w:t>nformazioni sull’istituto dell’accesso c</w:t>
      </w:r>
      <w:r w:rsidR="007E092F" w:rsidRPr="00340066">
        <w:rPr>
          <w:rFonts w:ascii="Times New Roman" w:hAnsi="Times New Roman"/>
          <w:color w:val="000000"/>
          <w:sz w:val="20"/>
          <w:szCs w:val="20"/>
        </w:rPr>
        <w:t xml:space="preserve">ivico, strumento attraverso il quale la </w:t>
      </w:r>
      <w:r w:rsidR="002B7DCE">
        <w:rPr>
          <w:rFonts w:ascii="Times New Roman" w:hAnsi="Times New Roman"/>
          <w:color w:val="000000"/>
          <w:sz w:val="20"/>
          <w:szCs w:val="20"/>
        </w:rPr>
        <w:t>società</w:t>
      </w:r>
      <w:r w:rsidR="007E092F" w:rsidRPr="00340066">
        <w:rPr>
          <w:rFonts w:ascii="Times New Roman" w:hAnsi="Times New Roman"/>
          <w:color w:val="000000"/>
          <w:sz w:val="20"/>
          <w:szCs w:val="20"/>
        </w:rPr>
        <w:t xml:space="preserve"> favorisce lo sviluppo di una cultura amministrativa orientata all'accessibilità totale, all'integrità e alla legalità.</w:t>
      </w:r>
      <w:r w:rsidR="004753E0" w:rsidRPr="004753E0">
        <w:rPr>
          <w:rFonts w:ascii="Times New Roman" w:hAnsi="Times New Roman"/>
          <w:color w:val="000000"/>
          <w:sz w:val="20"/>
          <w:szCs w:val="20"/>
        </w:rPr>
        <w:t xml:space="preserve"> Alla giornata verranno invitati tutti i cittadini, le associazioni di consumatori, ogni altro osservatore qualificato e i dipendenti.</w:t>
      </w:r>
    </w:p>
    <w:p w14:paraId="524E6686" w14:textId="77777777" w:rsidR="00B83569" w:rsidRPr="00FB1545" w:rsidRDefault="00B83569" w:rsidP="00603F3F">
      <w:pPr>
        <w:widowControl w:val="0"/>
        <w:spacing w:after="0"/>
        <w:jc w:val="both"/>
      </w:pPr>
    </w:p>
    <w:sectPr w:rsidR="00B83569" w:rsidRPr="00FB1545" w:rsidSect="00671DA8">
      <w:headerReference w:type="default" r:id="rId21"/>
      <w:footerReference w:type="default" r:id="rId22"/>
      <w:pgSz w:w="11907" w:h="16839" w:code="9"/>
      <w:pgMar w:top="2268" w:right="1418" w:bottom="1701" w:left="1418"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71BD4" w14:textId="77777777" w:rsidR="00483705" w:rsidRDefault="00483705" w:rsidP="00CB77A2">
      <w:pPr>
        <w:spacing w:after="0" w:line="240" w:lineRule="auto"/>
      </w:pPr>
      <w:r>
        <w:separator/>
      </w:r>
    </w:p>
  </w:endnote>
  <w:endnote w:type="continuationSeparator" w:id="0">
    <w:p w14:paraId="4B5C4A9A" w14:textId="77777777" w:rsidR="00483705" w:rsidRDefault="00483705" w:rsidP="00CB77A2">
      <w:pPr>
        <w:spacing w:after="0" w:line="240" w:lineRule="auto"/>
      </w:pPr>
      <w:r>
        <w:continuationSeparator/>
      </w:r>
    </w:p>
  </w:endnote>
  <w:endnote w:type="continuationNotice" w:id="1">
    <w:p w14:paraId="5324852B" w14:textId="77777777" w:rsidR="00483705" w:rsidRDefault="00483705">
      <w:pPr>
        <w:spacing w:after="0" w:line="240" w:lineRule="auto"/>
      </w:pPr>
    </w:p>
  </w:endnote>
  <w:endnote w:id="2">
    <w:p w14:paraId="5C0880CE"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vertAlign w:val="superscript"/>
        </w:rPr>
        <w:endnoteRef/>
      </w:r>
      <w:r w:rsidRPr="00046EA0">
        <w:rPr>
          <w:rFonts w:ascii="Times New Roman" w:hAnsi="Times New Roman"/>
          <w:sz w:val="12"/>
          <w:szCs w:val="12"/>
        </w:rPr>
        <w:t xml:space="preserve"> Articolo 318 - Corruzione per l'esercizio della funzione</w:t>
      </w:r>
    </w:p>
    <w:p w14:paraId="4D4243D7"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Il pubblico ufficiale, che, per l'esercizio delle sue funzioni o dei suoi poteri, riceve indebitamente, per sé o per un terzo, denaro o altra utilità, o ne accetta la promessa, è punito con la reclusione da uno a sei anni.</w:t>
      </w:r>
    </w:p>
  </w:endnote>
  <w:endnote w:id="3">
    <w:p w14:paraId="02316341"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vertAlign w:val="superscript"/>
        </w:rPr>
        <w:endnoteRef/>
      </w:r>
      <w:r w:rsidRPr="00046EA0">
        <w:rPr>
          <w:rFonts w:ascii="Times New Roman" w:hAnsi="Times New Roman"/>
          <w:sz w:val="12"/>
          <w:szCs w:val="12"/>
          <w:vertAlign w:val="superscript"/>
        </w:rPr>
        <w:t xml:space="preserve"> </w:t>
      </w:r>
      <w:r w:rsidRPr="00046EA0">
        <w:rPr>
          <w:rFonts w:ascii="Times New Roman" w:hAnsi="Times New Roman"/>
          <w:sz w:val="12"/>
          <w:szCs w:val="12"/>
        </w:rPr>
        <w:t>Articolo 319 - Corruzione per un atto contrario ai doveri d'ufficio</w:t>
      </w:r>
    </w:p>
    <w:p w14:paraId="3BB9676A"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Il pubblico ufficiale, che, per omettere o ritardare o per aver omesso o ritardato un atto del suo ufficio, ovvero per compiere o per aver compiuto un atto contrario ai doveri di ufficio, riceve, per sé o per un terzo, denaro od altra utilità, o ne accetta la promessa, è punito con la reclusione da quattro a otto anni</w:t>
      </w:r>
    </w:p>
  </w:endnote>
  <w:endnote w:id="4">
    <w:p w14:paraId="52C12D31"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vertAlign w:val="superscript"/>
        </w:rPr>
        <w:endnoteRef/>
      </w:r>
      <w:r w:rsidRPr="00046EA0">
        <w:rPr>
          <w:rFonts w:ascii="Times New Roman" w:hAnsi="Times New Roman"/>
          <w:sz w:val="12"/>
          <w:szCs w:val="12"/>
          <w:vertAlign w:val="superscript"/>
        </w:rPr>
        <w:t xml:space="preserve"> </w:t>
      </w:r>
      <w:r w:rsidRPr="00046EA0">
        <w:rPr>
          <w:rFonts w:ascii="Times New Roman" w:hAnsi="Times New Roman"/>
          <w:sz w:val="12"/>
          <w:szCs w:val="12"/>
        </w:rPr>
        <w:t>Articolo 319-ter - Corruzione in atti giudiziari</w:t>
      </w:r>
    </w:p>
    <w:p w14:paraId="57EF9FE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Se i fatti indicati negli artt. 318 e 319 sono commessi per favorire o danneggiare una parte in un processo civile, penale o amministrativo, si applica la pena della reclusione da quattro a dieci anni.</w:t>
      </w:r>
    </w:p>
    <w:p w14:paraId="1ED6E286"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Se dal fatto deriva l'ingiusta condanna di taluno alla reclusione non superiore a cinque anni, la pena è della reclusione da cinque a dodici anni; se deriva l'ingiusta condanna alla reclusione superiore a cinque anni o all'ergastolo, la pena è della reclusione da otto a venti anni</w:t>
      </w:r>
    </w:p>
  </w:endnote>
  <w:endnote w:id="5">
    <w:p w14:paraId="34BCF497"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D.Lgs. 39/2013, Legge 98/2013 e Determinazione A.NA.C. 8/2015. </w:t>
      </w:r>
    </w:p>
  </w:endnote>
  <w:endnote w:id="6">
    <w:p w14:paraId="50000A63"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Circolare del Dipartimento della Funzione Pubblica n. 1/2014 “</w:t>
      </w:r>
      <w:r w:rsidRPr="00046EA0">
        <w:rPr>
          <w:rFonts w:ascii="Times New Roman" w:hAnsi="Times New Roman"/>
          <w:i/>
          <w:sz w:val="12"/>
          <w:szCs w:val="12"/>
        </w:rPr>
        <w:t>Ambito soggettivo e oggettivo di applicazione delle regole di trasparenza di cui alla legge 6 novembre 2012, n. 190 e al decreto legislativo 14 marzo 2013, n. 33: in particolare, gli enti economici e le società partecipate</w:t>
      </w:r>
      <w:r w:rsidRPr="00046EA0">
        <w:rPr>
          <w:rFonts w:ascii="Times New Roman" w:hAnsi="Times New Roman"/>
          <w:sz w:val="12"/>
          <w:szCs w:val="12"/>
        </w:rPr>
        <w:t>”.</w:t>
      </w:r>
    </w:p>
  </w:endnote>
  <w:endnote w:id="7">
    <w:p w14:paraId="2C9B6762"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150/2009 come modificato dalle leggi 135/2012 e 125/2013. </w:t>
      </w:r>
    </w:p>
  </w:endnote>
  <w:endnote w:id="8">
    <w:p w14:paraId="384AE799" w14:textId="54585C0C" w:rsidR="00AE3019" w:rsidRPr="00AE5053" w:rsidRDefault="00AE3019" w:rsidP="00AE5053">
      <w:pPr>
        <w:pStyle w:val="Testonotadichiusura"/>
        <w:rPr>
          <w:rFonts w:ascii="Times New Roman" w:hAnsi="Times New Roman"/>
          <w:sz w:val="12"/>
        </w:rPr>
      </w:pPr>
      <w:r w:rsidRPr="00AE5053">
        <w:rPr>
          <w:rStyle w:val="Rimandonotadichiusura"/>
          <w:rFonts w:ascii="Times New Roman" w:hAnsi="Times New Roman"/>
          <w:sz w:val="12"/>
        </w:rPr>
        <w:endnoteRef/>
      </w:r>
      <w:r w:rsidRPr="00AE5053">
        <w:rPr>
          <w:rFonts w:ascii="Times New Roman" w:hAnsi="Times New Roman"/>
          <w:sz w:val="12"/>
        </w:rPr>
        <w:t xml:space="preserve"> Istat, Conti economici nazionali – Anni 2015-2017, 21 settembre 2018.</w:t>
      </w:r>
    </w:p>
  </w:endnote>
  <w:endnote w:id="9">
    <w:p w14:paraId="799ED1BF" w14:textId="189C1048" w:rsidR="00AE3019" w:rsidRPr="00AE5053" w:rsidRDefault="00AE3019" w:rsidP="00AE5053">
      <w:pPr>
        <w:pStyle w:val="Testonotadichiusura"/>
        <w:jc w:val="both"/>
        <w:rPr>
          <w:rFonts w:ascii="Times New Roman" w:hAnsi="Times New Roman"/>
          <w:sz w:val="12"/>
        </w:rPr>
      </w:pPr>
      <w:r w:rsidRPr="00AE5053">
        <w:rPr>
          <w:rStyle w:val="Rimandonotadichiusura"/>
          <w:rFonts w:ascii="Times New Roman" w:hAnsi="Times New Roman"/>
          <w:sz w:val="12"/>
        </w:rPr>
        <w:endnoteRef/>
      </w:r>
      <w:r w:rsidRPr="00AE5053">
        <w:rPr>
          <w:rFonts w:ascii="Times New Roman" w:hAnsi="Times New Roman"/>
          <w:sz w:val="12"/>
        </w:rPr>
        <w:t xml:space="preserve"> Poiché il valore dei consumi privati – a prezzi correnti – è aumentato del 2,6 per cento, la propensione al</w:t>
      </w:r>
      <w:r>
        <w:rPr>
          <w:rFonts w:ascii="Times New Roman" w:hAnsi="Times New Roman"/>
          <w:sz w:val="12"/>
        </w:rPr>
        <w:t xml:space="preserve"> </w:t>
      </w:r>
      <w:r w:rsidRPr="00AE5053">
        <w:rPr>
          <w:rFonts w:ascii="Times New Roman" w:hAnsi="Times New Roman"/>
          <w:sz w:val="12"/>
        </w:rPr>
        <w:t>risparmio delle famiglie è scesa al 7,7 per cento % dall’8,6 per cento del 2016.</w:t>
      </w:r>
    </w:p>
  </w:endnote>
  <w:endnote w:id="10">
    <w:p w14:paraId="4B5690E5" w14:textId="77777777" w:rsidR="00AE3019" w:rsidRPr="004959CD" w:rsidRDefault="00AE3019" w:rsidP="00780B4A">
      <w:pPr>
        <w:pStyle w:val="Testonotadichiusura"/>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Istat, </w:t>
      </w:r>
      <w:r w:rsidRPr="004959CD">
        <w:rPr>
          <w:rFonts w:ascii="Times New Roman" w:hAnsi="Times New Roman"/>
          <w:i/>
          <w:iCs/>
          <w:sz w:val="12"/>
        </w:rPr>
        <w:t>Congiuntura</w:t>
      </w:r>
      <w:r w:rsidRPr="004959CD">
        <w:rPr>
          <w:rFonts w:ascii="Times New Roman" w:hAnsi="Times New Roman"/>
          <w:sz w:val="12"/>
        </w:rPr>
        <w:t>, 5 ottobre 2018.</w:t>
      </w:r>
    </w:p>
  </w:endnote>
  <w:endnote w:id="11">
    <w:p w14:paraId="53016EF7" w14:textId="617FBFDD" w:rsidR="00AE3019" w:rsidRPr="004959CD" w:rsidRDefault="00AE3019" w:rsidP="00780B4A">
      <w:pPr>
        <w:pStyle w:val="Testonotadichiusura"/>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Istat, </w:t>
      </w:r>
      <w:r w:rsidRPr="004959CD">
        <w:rPr>
          <w:rFonts w:ascii="Times New Roman" w:hAnsi="Times New Roman"/>
          <w:i/>
          <w:iCs/>
          <w:sz w:val="12"/>
        </w:rPr>
        <w:t>Produzione industriale</w:t>
      </w:r>
      <w:r w:rsidRPr="004959CD">
        <w:rPr>
          <w:rFonts w:ascii="Times New Roman" w:hAnsi="Times New Roman"/>
          <w:sz w:val="12"/>
        </w:rPr>
        <w:t>, 5 ottobre 2018. Il calo di luglio ha neutralizzato i miglioramenti congiunturali dei</w:t>
      </w:r>
      <w:r>
        <w:rPr>
          <w:rFonts w:ascii="Times New Roman" w:hAnsi="Times New Roman"/>
          <w:sz w:val="12"/>
        </w:rPr>
        <w:t xml:space="preserve"> </w:t>
      </w:r>
      <w:r w:rsidRPr="004959CD">
        <w:rPr>
          <w:rFonts w:ascii="Times New Roman" w:hAnsi="Times New Roman"/>
          <w:sz w:val="12"/>
        </w:rPr>
        <w:t xml:space="preserve">due mesi precedenti: nella media del trimestre maggio-luglio la </w:t>
      </w:r>
      <w:r>
        <w:rPr>
          <w:rFonts w:ascii="Times New Roman" w:hAnsi="Times New Roman"/>
          <w:sz w:val="12"/>
        </w:rPr>
        <w:t>ri</w:t>
      </w:r>
      <w:r w:rsidRPr="004959CD">
        <w:rPr>
          <w:rFonts w:ascii="Times New Roman" w:hAnsi="Times New Roman"/>
          <w:sz w:val="12"/>
        </w:rPr>
        <w:t>duzione è quindi diminuit</w:t>
      </w:r>
      <w:r w:rsidRPr="00EC6F33">
        <w:rPr>
          <w:rFonts w:ascii="Times New Roman" w:hAnsi="Times New Roman"/>
          <w:sz w:val="12"/>
        </w:rPr>
        <w:t>a dello 0,2 per</w:t>
      </w:r>
      <w:r>
        <w:rPr>
          <w:rFonts w:ascii="Times New Roman" w:hAnsi="Times New Roman"/>
          <w:sz w:val="12"/>
        </w:rPr>
        <w:t xml:space="preserve"> </w:t>
      </w:r>
      <w:r w:rsidRPr="004959CD">
        <w:rPr>
          <w:rFonts w:ascii="Times New Roman" w:hAnsi="Times New Roman"/>
          <w:sz w:val="12"/>
        </w:rPr>
        <w:t>cento rispetto al trimestre precedente.</w:t>
      </w:r>
    </w:p>
  </w:endnote>
  <w:endnote w:id="12">
    <w:p w14:paraId="39FA1C99" w14:textId="77777777" w:rsidR="00AE3019" w:rsidRPr="004959CD" w:rsidRDefault="00AE3019" w:rsidP="00DF4760">
      <w:pPr>
        <w:pStyle w:val="Testonotadichiusura"/>
        <w:jc w:val="both"/>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La crescita sostenuta del potere d’acquisto non ha però comportato, almeno nell’immediato, un aumento dei</w:t>
      </w:r>
      <w:r>
        <w:rPr>
          <w:rFonts w:ascii="Times New Roman" w:hAnsi="Times New Roman"/>
          <w:sz w:val="12"/>
        </w:rPr>
        <w:t xml:space="preserve"> </w:t>
      </w:r>
      <w:r w:rsidRPr="004959CD">
        <w:rPr>
          <w:rFonts w:ascii="Times New Roman" w:hAnsi="Times New Roman"/>
          <w:sz w:val="12"/>
        </w:rPr>
        <w:t>consumi, determinando quindi nel trimestre un deciso aumento della</w:t>
      </w:r>
      <w:r w:rsidRPr="00AB19F4">
        <w:rPr>
          <w:rFonts w:ascii="Times New Roman" w:hAnsi="Times New Roman"/>
          <w:sz w:val="12"/>
        </w:rPr>
        <w:t xml:space="preserve"> </w:t>
      </w:r>
      <w:r>
        <w:rPr>
          <w:rFonts w:ascii="Times New Roman" w:hAnsi="Times New Roman"/>
          <w:sz w:val="12"/>
        </w:rPr>
        <w:t>pr</w:t>
      </w:r>
      <w:r w:rsidRPr="004959CD">
        <w:rPr>
          <w:rFonts w:ascii="Times New Roman" w:hAnsi="Times New Roman"/>
          <w:sz w:val="12"/>
        </w:rPr>
        <w:t>opensione al risparmio, che è salita</w:t>
      </w:r>
      <w:r>
        <w:rPr>
          <w:rFonts w:ascii="Times New Roman" w:hAnsi="Times New Roman"/>
          <w:sz w:val="12"/>
        </w:rPr>
        <w:t xml:space="preserve"> </w:t>
      </w:r>
      <w:r w:rsidRPr="004959CD">
        <w:rPr>
          <w:rFonts w:ascii="Times New Roman" w:hAnsi="Times New Roman"/>
          <w:sz w:val="12"/>
        </w:rPr>
        <w:t>all’8,6 per cento (1,1 punti percentuali in più rispetto al primo trimestre).</w:t>
      </w:r>
    </w:p>
  </w:endnote>
  <w:endnote w:id="13">
    <w:p w14:paraId="4B27E40F" w14:textId="77777777" w:rsidR="00AE3019" w:rsidRPr="004959CD" w:rsidRDefault="00AE3019" w:rsidP="00DF4760">
      <w:pPr>
        <w:pStyle w:val="Testonotadichiusura"/>
        <w:jc w:val="both"/>
        <w:rPr>
          <w:rFonts w:ascii="Times New Roman" w:hAnsi="Times New Roman"/>
          <w:sz w:val="12"/>
        </w:rPr>
      </w:pPr>
      <w:r w:rsidRPr="004959CD">
        <w:rPr>
          <w:rStyle w:val="Rimandonotadichiusura"/>
          <w:rFonts w:ascii="Times New Roman" w:hAnsi="Times New Roman"/>
          <w:sz w:val="12"/>
        </w:rPr>
        <w:endnoteRef/>
      </w:r>
      <w:r w:rsidRPr="004959CD">
        <w:rPr>
          <w:rFonts w:ascii="Times New Roman" w:hAnsi="Times New Roman"/>
          <w:sz w:val="12"/>
        </w:rPr>
        <w:t xml:space="preserve"> In dettaglio: l’aumento dell’occupazione si distribuisce tra le fasce di età superiori ai 25 anni e interessa sia le</w:t>
      </w:r>
      <w:r>
        <w:rPr>
          <w:rFonts w:ascii="Times New Roman" w:hAnsi="Times New Roman"/>
          <w:sz w:val="12"/>
        </w:rPr>
        <w:t xml:space="preserve"> </w:t>
      </w:r>
      <w:r w:rsidRPr="004959CD">
        <w:rPr>
          <w:rFonts w:ascii="Times New Roman" w:hAnsi="Times New Roman"/>
          <w:sz w:val="12"/>
        </w:rPr>
        <w:t>donne sia gli uomini; in termini di composizione per posizione professionale tornano a crescere i dipendenti</w:t>
      </w:r>
      <w:r>
        <w:rPr>
          <w:rFonts w:ascii="Times New Roman" w:hAnsi="Times New Roman"/>
          <w:sz w:val="12"/>
        </w:rPr>
        <w:t xml:space="preserve"> </w:t>
      </w:r>
      <w:r w:rsidRPr="004959CD">
        <w:rPr>
          <w:rFonts w:ascii="Times New Roman" w:hAnsi="Times New Roman"/>
          <w:sz w:val="12"/>
        </w:rPr>
        <w:t>(+0,5 per cento rispetto al mese di luglio) trainati dalla componente a termine (1,5 per cento) ma sostenuti</w:t>
      </w:r>
      <w:r>
        <w:rPr>
          <w:rFonts w:ascii="Times New Roman" w:hAnsi="Times New Roman"/>
          <w:sz w:val="12"/>
        </w:rPr>
        <w:t xml:space="preserve"> </w:t>
      </w:r>
      <w:r w:rsidRPr="004959CD">
        <w:rPr>
          <w:rFonts w:ascii="Times New Roman" w:hAnsi="Times New Roman"/>
          <w:sz w:val="12"/>
        </w:rPr>
        <w:t>anche da un aumento dell’occupazione permanente (+0,3 per cento).</w:t>
      </w:r>
    </w:p>
  </w:endnote>
  <w:endnote w:id="14">
    <w:p w14:paraId="687D74DA" w14:textId="5F14B04F" w:rsidR="00AE3019" w:rsidRPr="003C4FE1" w:rsidRDefault="00AE3019" w:rsidP="003C4FE1">
      <w:pPr>
        <w:pStyle w:val="Testonotadichiusura"/>
        <w:rPr>
          <w:rFonts w:ascii="Times New Roman" w:hAnsi="Times New Roman"/>
          <w:sz w:val="12"/>
          <w:szCs w:val="16"/>
        </w:rPr>
      </w:pPr>
      <w:r w:rsidRPr="003C4FE1">
        <w:rPr>
          <w:rStyle w:val="Rimandonotadichiusura"/>
          <w:rFonts w:ascii="Times New Roman" w:hAnsi="Times New Roman"/>
          <w:sz w:val="12"/>
          <w:szCs w:val="16"/>
        </w:rPr>
        <w:endnoteRef/>
      </w:r>
      <w:r w:rsidRPr="003C4FE1">
        <w:rPr>
          <w:rFonts w:ascii="Times New Roman" w:hAnsi="Times New Roman"/>
          <w:sz w:val="12"/>
          <w:szCs w:val="16"/>
        </w:rPr>
        <w:t xml:space="preserve"> Consiglio dei Ministri n. 21, 27 settembre 2018.</w:t>
      </w:r>
    </w:p>
  </w:endnote>
  <w:endnote w:id="15">
    <w:p w14:paraId="02747F3C" w14:textId="22F90493" w:rsidR="00AE3019" w:rsidRPr="003C4FE1" w:rsidRDefault="00AE3019" w:rsidP="003C4FE1">
      <w:pPr>
        <w:pStyle w:val="Testonotadichiusura"/>
        <w:rPr>
          <w:rFonts w:ascii="Times New Roman" w:hAnsi="Times New Roman"/>
          <w:sz w:val="12"/>
          <w:szCs w:val="16"/>
        </w:rPr>
      </w:pPr>
      <w:r w:rsidRPr="003C4FE1">
        <w:rPr>
          <w:rStyle w:val="Rimandonotadichiusura"/>
          <w:rFonts w:ascii="Times New Roman" w:hAnsi="Times New Roman"/>
          <w:sz w:val="12"/>
          <w:szCs w:val="16"/>
        </w:rPr>
        <w:endnoteRef/>
      </w:r>
      <w:r w:rsidRPr="003C4FE1">
        <w:rPr>
          <w:rFonts w:ascii="Times New Roman" w:hAnsi="Times New Roman"/>
          <w:sz w:val="12"/>
          <w:szCs w:val="16"/>
        </w:rPr>
        <w:t xml:space="preserve"> Istat, Conti economici nazionali – Anni 2015-2017, 21 settembre 2018.</w:t>
      </w:r>
    </w:p>
  </w:endnote>
  <w:endnote w:id="16">
    <w:p w14:paraId="454ED801" w14:textId="337EE662" w:rsidR="00AE3019" w:rsidRPr="003C4FE1" w:rsidRDefault="00AE3019" w:rsidP="003C4FE1">
      <w:pPr>
        <w:pStyle w:val="Testonotadichiusura"/>
        <w:jc w:val="both"/>
        <w:rPr>
          <w:rFonts w:ascii="Times New Roman" w:hAnsi="Times New Roman"/>
          <w:sz w:val="12"/>
        </w:rPr>
      </w:pPr>
      <w:r w:rsidRPr="003C4FE1">
        <w:rPr>
          <w:rStyle w:val="Rimandonotadichiusura"/>
          <w:rFonts w:ascii="Times New Roman" w:hAnsi="Times New Roman"/>
          <w:sz w:val="12"/>
        </w:rPr>
        <w:endnoteRef/>
      </w:r>
      <w:r>
        <w:t xml:space="preserve"> </w:t>
      </w:r>
      <w:r w:rsidRPr="003C4FE1">
        <w:rPr>
          <w:rFonts w:ascii="Times New Roman" w:hAnsi="Times New Roman"/>
          <w:sz w:val="12"/>
        </w:rPr>
        <w:t>Va osservato che mentre per il 2019 gli aumenti dell’IVA previsti dalle clausole di salvaguardia vengono aboliti,</w:t>
      </w:r>
      <w:r>
        <w:rPr>
          <w:rFonts w:ascii="Times New Roman" w:hAnsi="Times New Roman"/>
          <w:sz w:val="12"/>
        </w:rPr>
        <w:t xml:space="preserve"> </w:t>
      </w:r>
      <w:r w:rsidRPr="003C4FE1">
        <w:rPr>
          <w:rFonts w:ascii="Times New Roman" w:hAnsi="Times New Roman"/>
          <w:sz w:val="12"/>
        </w:rPr>
        <w:t>per il 2020 e il 2021 il quadro programmatico continua a includerli parzialmente prospettando, dunque, un</w:t>
      </w:r>
      <w:r>
        <w:rPr>
          <w:rFonts w:ascii="Times New Roman" w:hAnsi="Times New Roman"/>
          <w:sz w:val="12"/>
        </w:rPr>
        <w:t xml:space="preserve"> </w:t>
      </w:r>
      <w:r w:rsidRPr="003C4FE1">
        <w:rPr>
          <w:rFonts w:ascii="Times New Roman" w:hAnsi="Times New Roman"/>
          <w:sz w:val="12"/>
        </w:rPr>
        <w:t>futuro aumento delle imposte indirette.</w:t>
      </w:r>
    </w:p>
  </w:endnote>
  <w:endnote w:id="17">
    <w:p w14:paraId="3D07BBAB" w14:textId="76B74F69" w:rsidR="00AE3019" w:rsidRPr="003C4FE1" w:rsidRDefault="00AE3019" w:rsidP="00AE5053">
      <w:pPr>
        <w:pStyle w:val="Testonotadichiusura"/>
        <w:jc w:val="both"/>
        <w:rPr>
          <w:rFonts w:ascii="Times New Roman" w:hAnsi="Times New Roman"/>
          <w:sz w:val="12"/>
        </w:rPr>
      </w:pPr>
      <w:r w:rsidRPr="003C4FE1">
        <w:rPr>
          <w:rFonts w:ascii="Times New Roman" w:hAnsi="Times New Roman"/>
          <w:sz w:val="12"/>
          <w:vertAlign w:val="superscript"/>
        </w:rPr>
        <w:endnoteRef/>
      </w:r>
      <w:r w:rsidRPr="003C4FE1">
        <w:rPr>
          <w:rFonts w:ascii="Times New Roman" w:hAnsi="Times New Roman"/>
          <w:sz w:val="12"/>
        </w:rPr>
        <w:t xml:space="preserve"> Il saldo di bilancio programmatico strutturale (-1,7 per cento nel 2019) si ottiene come differenza tra l’indebitamento</w:t>
      </w:r>
      <w:r w:rsidRPr="003C4FE1">
        <w:rPr>
          <w:rFonts w:ascii="Times New Roman" w:hAnsi="Times New Roman"/>
          <w:sz w:val="4"/>
        </w:rPr>
        <w:t xml:space="preserve"> </w:t>
      </w:r>
      <w:r w:rsidRPr="003C4FE1">
        <w:rPr>
          <w:rFonts w:ascii="Times New Roman" w:hAnsi="Times New Roman"/>
          <w:sz w:val="12"/>
        </w:rPr>
        <w:t>netto programmatico corretto per il ciclo (-1,8 per cento nel 2019) e</w:t>
      </w:r>
      <w:r>
        <w:rPr>
          <w:rFonts w:ascii="Times New Roman" w:hAnsi="Times New Roman"/>
          <w:sz w:val="12"/>
        </w:rPr>
        <w:t xml:space="preserve"> </w:t>
      </w:r>
      <w:r w:rsidRPr="003C4FE1">
        <w:rPr>
          <w:rFonts w:ascii="Times New Roman" w:hAnsi="Times New Roman"/>
          <w:sz w:val="12"/>
        </w:rPr>
        <w:t>le misure una tantum programmatiche</w:t>
      </w:r>
      <w:r w:rsidRPr="003C4FE1">
        <w:rPr>
          <w:rFonts w:ascii="Times New Roman" w:hAnsi="Times New Roman"/>
          <w:sz w:val="4"/>
        </w:rPr>
        <w:t xml:space="preserve"> </w:t>
      </w:r>
      <w:r w:rsidRPr="003C4FE1">
        <w:rPr>
          <w:rFonts w:ascii="Times New Roman" w:hAnsi="Times New Roman"/>
          <w:sz w:val="12"/>
        </w:rPr>
        <w:t>(-0,1 per cento nel 2019).</w:t>
      </w:r>
    </w:p>
  </w:endnote>
  <w:endnote w:id="18">
    <w:p w14:paraId="07A74B20" w14:textId="3F95A64E" w:rsidR="00AE3019" w:rsidRPr="003C4FE1" w:rsidRDefault="00AE3019" w:rsidP="003C4FE1">
      <w:pPr>
        <w:pStyle w:val="Testonotadichiusura"/>
        <w:jc w:val="both"/>
        <w:rPr>
          <w:rFonts w:ascii="Times New Roman" w:hAnsi="Times New Roman"/>
          <w:sz w:val="12"/>
        </w:rPr>
      </w:pPr>
      <w:r w:rsidRPr="003C4FE1">
        <w:rPr>
          <w:rStyle w:val="Rimandonotadichiusura"/>
          <w:rFonts w:ascii="Times New Roman" w:hAnsi="Times New Roman"/>
          <w:sz w:val="12"/>
        </w:rPr>
        <w:endnoteRef/>
      </w:r>
      <w:r w:rsidRPr="003C4FE1">
        <w:rPr>
          <w:rFonts w:ascii="Times New Roman" w:hAnsi="Times New Roman"/>
          <w:sz w:val="12"/>
        </w:rPr>
        <w:t xml:space="preserve"> Il Governo annuncia l’intenzione di riprendere il percorso di consolidamento nel 2022, primo anno successivo</w:t>
      </w:r>
      <w:r>
        <w:rPr>
          <w:rFonts w:ascii="Times New Roman" w:hAnsi="Times New Roman"/>
          <w:sz w:val="12"/>
        </w:rPr>
        <w:t xml:space="preserve"> </w:t>
      </w:r>
      <w:r w:rsidRPr="003C4FE1">
        <w:rPr>
          <w:rFonts w:ascii="Times New Roman" w:hAnsi="Times New Roman"/>
          <w:sz w:val="12"/>
        </w:rPr>
        <w:t>all’orizzonte di programmazione; il percorso sarebbe anticipato solo nel caso in cui, entro il 2021, il prodotto e</w:t>
      </w:r>
      <w:r>
        <w:rPr>
          <w:rFonts w:ascii="Times New Roman" w:hAnsi="Times New Roman"/>
          <w:sz w:val="12"/>
        </w:rPr>
        <w:t xml:space="preserve"> </w:t>
      </w:r>
      <w:r w:rsidRPr="003C4FE1">
        <w:rPr>
          <w:rFonts w:ascii="Times New Roman" w:hAnsi="Times New Roman"/>
          <w:sz w:val="12"/>
        </w:rPr>
        <w:t>l’occupazione tornassero ai livelli precedenti la crisi.</w:t>
      </w:r>
    </w:p>
  </w:endnote>
  <w:endnote w:id="19">
    <w:p w14:paraId="60D9F843"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Giovani tra i 15 e i 29 anni non occupati né inseriti in un percorso regolare di istruzione/formazione in percentuale sulla popolazione nella corrispondente classe di età. </w:t>
      </w:r>
    </w:p>
  </w:endnote>
  <w:endnote w:id="20">
    <w:p w14:paraId="2515FE21" w14:textId="5A3EB1A6"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Pr>
          <w:rFonts w:ascii="Times New Roman" w:hAnsi="Times New Roman"/>
          <w:sz w:val="12"/>
          <w:szCs w:val="12"/>
        </w:rPr>
        <w:t>Cfr. Focus A – Il mercato del lavoro e le politiche per il lavoro contenuto nel DEFR 2019-2021.</w:t>
      </w:r>
    </w:p>
  </w:endnote>
  <w:endnote w:id="21">
    <w:p w14:paraId="57C2FF05"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Misurato come percentuale di bandi di gara sopra soglia con presentazione dell’offerta elettronica sul totale dei bandi di gara sopra soglia. Dati riferiti all’anno 2015.</w:t>
      </w:r>
    </w:p>
  </w:endnote>
  <w:endnote w:id="22">
    <w:p w14:paraId="6EBE4425" w14:textId="3E60C95C" w:rsidR="00AE3019" w:rsidRPr="00435A3F" w:rsidRDefault="00AE3019" w:rsidP="00435A3F">
      <w:pPr>
        <w:pStyle w:val="Testonotadichiusura"/>
        <w:widowControl w:val="0"/>
        <w:jc w:val="both"/>
        <w:rPr>
          <w:rFonts w:ascii="Times New Roman" w:hAnsi="Times New Roman"/>
          <w:color w:val="000000"/>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Pr>
          <w:rFonts w:ascii="Times New Roman" w:hAnsi="Times New Roman"/>
          <w:sz w:val="12"/>
          <w:szCs w:val="12"/>
        </w:rPr>
        <w:t xml:space="preserve">II </w:t>
      </w:r>
      <w:r w:rsidRPr="00046EA0">
        <w:rPr>
          <w:rFonts w:ascii="Times New Roman" w:hAnsi="Times New Roman"/>
          <w:color w:val="000000"/>
          <w:sz w:val="12"/>
          <w:szCs w:val="12"/>
        </w:rPr>
        <w:t xml:space="preserve">Rapporto </w:t>
      </w:r>
      <w:r>
        <w:rPr>
          <w:rFonts w:ascii="Times New Roman" w:hAnsi="Times New Roman"/>
          <w:color w:val="000000"/>
          <w:sz w:val="12"/>
          <w:szCs w:val="12"/>
        </w:rPr>
        <w:t xml:space="preserve">sulle “Mafie nel Lazio” </w:t>
      </w:r>
      <w:r w:rsidRPr="00046EA0">
        <w:rPr>
          <w:rFonts w:ascii="Times New Roman" w:hAnsi="Times New Roman"/>
          <w:color w:val="000000"/>
          <w:sz w:val="12"/>
          <w:szCs w:val="12"/>
        </w:rPr>
        <w:t xml:space="preserve">dell’Osservatorio </w:t>
      </w:r>
      <w:r>
        <w:rPr>
          <w:rFonts w:ascii="Times New Roman" w:hAnsi="Times New Roman"/>
          <w:color w:val="000000"/>
          <w:sz w:val="12"/>
          <w:szCs w:val="12"/>
        </w:rPr>
        <w:t>Tecnico-Scientifico per la Sicurezza e la Legalità della Regione Lazio</w:t>
      </w:r>
      <w:r w:rsidRPr="00046EA0">
        <w:rPr>
          <w:rFonts w:ascii="Times New Roman" w:hAnsi="Times New Roman"/>
          <w:color w:val="000000"/>
          <w:sz w:val="12"/>
          <w:szCs w:val="12"/>
        </w:rPr>
        <w:t>, a cura dell’Osservatorio Tecnico-Scientifico per la Sicurezza e la Legalità, pag. 14.</w:t>
      </w:r>
      <w:r>
        <w:rPr>
          <w:rFonts w:ascii="Times New Roman" w:hAnsi="Times New Roman"/>
          <w:color w:val="000000"/>
          <w:sz w:val="12"/>
          <w:szCs w:val="12"/>
        </w:rPr>
        <w:t xml:space="preserve"> Nel corso del 2018, è stato pubblicato il III Rapporto che, nel proseguire l’analisi delle organizzazioni criminali, ha esaminato e rielaborato solo materiali pubblici quali i documenti </w:t>
      </w:r>
      <w:r w:rsidRPr="00133E0F">
        <w:rPr>
          <w:rFonts w:ascii="Times New Roman" w:hAnsi="Times New Roman"/>
          <w:color w:val="000000"/>
          <w:sz w:val="12"/>
          <w:szCs w:val="12"/>
        </w:rPr>
        <w:t>prodotti nell’ambito delle attività investigative e giudiziarie</w:t>
      </w:r>
      <w:r>
        <w:rPr>
          <w:rFonts w:ascii="Times New Roman" w:hAnsi="Times New Roman"/>
          <w:color w:val="000000"/>
          <w:sz w:val="12"/>
          <w:szCs w:val="12"/>
        </w:rPr>
        <w:t xml:space="preserve">, quelli istituzionali, nonché </w:t>
      </w:r>
      <w:r w:rsidRPr="00133E0F">
        <w:rPr>
          <w:rFonts w:ascii="Times New Roman" w:hAnsi="Times New Roman"/>
          <w:color w:val="000000"/>
          <w:sz w:val="12"/>
          <w:szCs w:val="12"/>
        </w:rPr>
        <w:t>le dichiarazioni pubbliche dei cosiddetti</w:t>
      </w:r>
      <w:r>
        <w:rPr>
          <w:rFonts w:ascii="Times New Roman" w:hAnsi="Times New Roman"/>
          <w:color w:val="000000"/>
          <w:sz w:val="12"/>
          <w:szCs w:val="12"/>
        </w:rPr>
        <w:t xml:space="preserve"> “testimoni privilegiati” della </w:t>
      </w:r>
      <w:r w:rsidRPr="00133E0F">
        <w:rPr>
          <w:rFonts w:ascii="Times New Roman" w:hAnsi="Times New Roman"/>
          <w:color w:val="000000"/>
          <w:sz w:val="12"/>
          <w:szCs w:val="12"/>
        </w:rPr>
        <w:t>lotta alle mafie nella regione.</w:t>
      </w:r>
    </w:p>
  </w:endnote>
  <w:endnote w:id="23">
    <w:p w14:paraId="58D391FF" w14:textId="363B677B"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EU.R.E.S. “Profili e dinamiche della corruzione a Roma e nel Lazio”,</w:t>
      </w:r>
      <w:r>
        <w:rPr>
          <w:rFonts w:ascii="Times New Roman" w:hAnsi="Times New Roman"/>
          <w:color w:val="000000"/>
          <w:sz w:val="12"/>
          <w:szCs w:val="12"/>
        </w:rPr>
        <w:t xml:space="preserve"> </w:t>
      </w:r>
      <w:r w:rsidRPr="00046EA0">
        <w:rPr>
          <w:rFonts w:ascii="Times New Roman" w:hAnsi="Times New Roman"/>
          <w:color w:val="00339A"/>
          <w:sz w:val="12"/>
          <w:szCs w:val="12"/>
        </w:rPr>
        <w:t>http://www.eures.it/profili-edinamiche-della-corruzione-a-roma-e-nel-lazio/#sthash.ufNgz8ov.dpuf</w:t>
      </w:r>
    </w:p>
  </w:endnote>
  <w:endnote w:id="24">
    <w:p w14:paraId="306C6089" w14:textId="6AB82793"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Dalla relazione sull’attività delle forze di polizia, sullo stato dell’ordine e della sicurezza pubblica e sulla criminalità organizzata, presentata dal Ministro Alfano alla Camera dei Deputati il 25 febbraio 2015.</w:t>
      </w:r>
      <w:r>
        <w:rPr>
          <w:rFonts w:ascii="Times New Roman" w:hAnsi="Times New Roman"/>
          <w:color w:val="000000"/>
          <w:sz w:val="12"/>
          <w:szCs w:val="12"/>
        </w:rPr>
        <w:t xml:space="preserve"> </w:t>
      </w:r>
      <w:r w:rsidRPr="00046EA0">
        <w:rPr>
          <w:rFonts w:ascii="Times New Roman" w:hAnsi="Times New Roman"/>
          <w:color w:val="000000"/>
          <w:sz w:val="12"/>
          <w:szCs w:val="12"/>
        </w:rPr>
        <w:t xml:space="preserve"> </w:t>
      </w:r>
      <w:r w:rsidRPr="00046EA0">
        <w:rPr>
          <w:rFonts w:ascii="Times New Roman" w:hAnsi="Times New Roman"/>
          <w:color w:val="00339A"/>
          <w:sz w:val="12"/>
          <w:szCs w:val="12"/>
        </w:rPr>
        <w:t>http://www.camera.it/leg17/494?idLegislatura=17@categoria=038&amp;tipologiaDoc=elenco_categoria</w:t>
      </w:r>
    </w:p>
  </w:endnote>
  <w:endnote w:id="25">
    <w:p w14:paraId="48C03F96"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15.</w:t>
      </w:r>
    </w:p>
  </w:endnote>
  <w:endnote w:id="26">
    <w:p w14:paraId="125432D7"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 xml:space="preserve">Relazione pubblicata in: </w:t>
      </w:r>
      <w:r w:rsidRPr="00046EA0">
        <w:rPr>
          <w:rFonts w:ascii="Times New Roman" w:hAnsi="Times New Roman"/>
          <w:color w:val="00339A"/>
          <w:sz w:val="12"/>
          <w:szCs w:val="12"/>
        </w:rPr>
        <w:t>http://www.europarl.europa.eu/document/activities/cont/201306/20130627ATT68701/20130627ATT68701EN.pdf</w:t>
      </w:r>
    </w:p>
  </w:endnote>
  <w:endnote w:id="27">
    <w:p w14:paraId="1CE122D4" w14:textId="3EBC8434" w:rsidR="00AE3019" w:rsidRPr="001A66D7" w:rsidRDefault="00AE3019" w:rsidP="001A66D7">
      <w:pPr>
        <w:pStyle w:val="Testonotadichiusura"/>
        <w:jc w:val="both"/>
      </w:pPr>
      <w:r w:rsidRPr="001A66D7">
        <w:rPr>
          <w:rFonts w:ascii="Times New Roman" w:hAnsi="Times New Roman"/>
          <w:color w:val="000000"/>
          <w:sz w:val="8"/>
          <w:szCs w:val="12"/>
        </w:rPr>
        <w:endnoteRef/>
      </w:r>
      <w:r w:rsidRPr="001A66D7">
        <w:rPr>
          <w:rFonts w:ascii="Times New Roman" w:hAnsi="Times New Roman"/>
          <w:color w:val="000000"/>
          <w:sz w:val="8"/>
          <w:szCs w:val="12"/>
        </w:rPr>
        <w:t xml:space="preserve"> </w:t>
      </w:r>
      <w:r>
        <w:rPr>
          <w:rFonts w:ascii="Times New Roman" w:hAnsi="Times New Roman"/>
          <w:color w:val="000000"/>
          <w:sz w:val="12"/>
          <w:szCs w:val="12"/>
        </w:rPr>
        <w:t xml:space="preserve">Cfr. i dati completi dell’Osservatorio sul fenomeno degli atti intimidatori nei confronti degli amministratori locali all’indirizzo internet del Ministero degli Interni </w:t>
      </w:r>
      <w:r w:rsidRPr="001A66D7">
        <w:rPr>
          <w:rFonts w:ascii="Times New Roman" w:hAnsi="Times New Roman"/>
          <w:color w:val="000000"/>
          <w:sz w:val="12"/>
          <w:szCs w:val="12"/>
        </w:rPr>
        <w:t>http://www.interno.gov.it/it/notizie/calano-intimidazioni-verso-amministratori-locali</w:t>
      </w:r>
      <w:r>
        <w:rPr>
          <w:rFonts w:ascii="Times New Roman" w:hAnsi="Times New Roman"/>
          <w:color w:val="000000"/>
          <w:sz w:val="12"/>
          <w:szCs w:val="12"/>
        </w:rPr>
        <w:t>.</w:t>
      </w:r>
    </w:p>
  </w:endnote>
  <w:endnote w:id="28">
    <w:p w14:paraId="78C633F3"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art.1, comma </w:t>
      </w:r>
      <w:r w:rsidRPr="00046EA0">
        <w:rPr>
          <w:rStyle w:val="Enfasigrassetto"/>
          <w:rFonts w:ascii="Times New Roman" w:hAnsi="Times New Roman"/>
          <w:b w:val="0"/>
          <w:iCs/>
          <w:sz w:val="12"/>
          <w:szCs w:val="12"/>
        </w:rPr>
        <w:t>8. L'organo di indirizzo definisce gli obiettivi strategici in materia di prevenzione della corruzione e trasparenza, che costituiscono contenuto necessario dei documenti di programmazione strategico-gestionale e del Piano triennale per la prevenzione della corruzione. L'organo di indirizzo adotta il Piano triennale per la prevenzione della corruzione su proposta del Responsabile della prevenzione della corruzione e della trasparenza entro il 31 gennaio di ogni anno e ne cura la trasmissione all’Autorità nazionale anticorruzione. Negli enti locali il piano è approvato dalla giunta. L’attività di elaborazione del piano non può essere affidata a soggetti estranei all'amministrazione. Il responsabile della prevenzione della corruzione e della trasparenza, entro lo stesso termine, definisce procedure appropriate per selezionare e formare, ai sensi del comma 10, i dipendenti destinati ad operare in settori particolarmente esposti alla corruzione. Le attività a rischio di corruzione devono essere svolte, ove possibile, dal personale di cui al comma 11.</w:t>
      </w:r>
    </w:p>
  </w:endnote>
  <w:endnote w:id="29">
    <w:p w14:paraId="66C3EC4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10. Il responsabile individuato ai sensi del comma 7 provvede anche: </w:t>
      </w:r>
    </w:p>
    <w:p w14:paraId="054D766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a) alla verifica dell'efficace attuazione del piano e della sua idoneità, nonché a proporre la modifica dello stesso quando sono accertate significative violazioni delle prescrizioni ovvero quando intervengono mutamenti nell'organizzazione o nell’attività dell'amministrazione; </w:t>
      </w:r>
    </w:p>
    <w:p w14:paraId="07C52ABD" w14:textId="21C40DA5"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b) alla verifica, d'intesa con il </w:t>
      </w:r>
      <w:r>
        <w:rPr>
          <w:rFonts w:ascii="Times New Roman" w:hAnsi="Times New Roman" w:cs="Times New Roman"/>
          <w:sz w:val="12"/>
          <w:szCs w:val="12"/>
        </w:rPr>
        <w:t>Responssabile</w:t>
      </w:r>
      <w:r w:rsidRPr="00046EA0">
        <w:rPr>
          <w:rFonts w:ascii="Times New Roman" w:hAnsi="Times New Roman" w:cs="Times New Roman"/>
          <w:sz w:val="12"/>
          <w:szCs w:val="12"/>
        </w:rPr>
        <w:t xml:space="preserve"> competente, dell'effettiva rotazione degli incarichi negli uffici preposti allo svolgimento delle attività nel cui ambito è più elevato il rischio che siano commessi reati di corruzione; </w:t>
      </w:r>
    </w:p>
    <w:p w14:paraId="320540CB"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c) ad individuare il personale da inserire nei programmi di formazione di cui al comma 11.</w:t>
      </w:r>
    </w:p>
  </w:endnote>
  <w:endnote w:id="30">
    <w:p w14:paraId="0E938510" w14:textId="5F005A4D"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Pr>
          <w:rFonts w:ascii="Times New Roman" w:hAnsi="Times New Roman"/>
          <w:sz w:val="12"/>
          <w:szCs w:val="12"/>
        </w:rPr>
        <w:t xml:space="preserve"> I dipendenti della </w:t>
      </w:r>
      <w:r>
        <w:rPr>
          <w:rFonts w:ascii="Times New Roman" w:hAnsi="Times New Roman"/>
          <w:b/>
          <w:sz w:val="12"/>
          <w:szCs w:val="12"/>
        </w:rPr>
        <w:t>Multiservizi dei Castelli di</w:t>
      </w:r>
      <w:r w:rsidRPr="00AE3019">
        <w:rPr>
          <w:rFonts w:ascii="Times New Roman" w:hAnsi="Times New Roman"/>
          <w:b/>
          <w:sz w:val="12"/>
          <w:szCs w:val="12"/>
        </w:rPr>
        <w:t xml:space="preserve"> Marino S.p.A.</w:t>
      </w:r>
      <w:r w:rsidRPr="00046EA0">
        <w:rPr>
          <w:rFonts w:ascii="Times New Roman" w:hAnsi="Times New Roman"/>
          <w:sz w:val="12"/>
          <w:szCs w:val="12"/>
        </w:rPr>
        <w:t xml:space="preserve"> in servizio presso le sedi della Regione Lazio (Giunta e Consiglio) e/o operativi su attività e servizi connessi alle funzioni amministrative della Regione stessa, sono obbligati ad osservare le prescrizioni previste nel Piano Triennale per la Prevenzione della Corruzione, la Trasparenza e l’Integrità e nel Codice di Comportamento adottato dalla Giunta e dal Consiglio, fermo restando l’obbligo di osservanza delle prescrizioni del Modello di Organizzazione, Gestione e Controllo, del Codice Etico e di Comp</w:t>
      </w:r>
      <w:r>
        <w:rPr>
          <w:rFonts w:ascii="Times New Roman" w:hAnsi="Times New Roman"/>
          <w:sz w:val="12"/>
          <w:szCs w:val="12"/>
        </w:rPr>
        <w:t>ortamento e del PTPC adottati della</w:t>
      </w:r>
      <w:r w:rsidRPr="00046EA0">
        <w:rPr>
          <w:rFonts w:ascii="Times New Roman" w:hAnsi="Times New Roman"/>
          <w:sz w:val="12"/>
          <w:szCs w:val="12"/>
        </w:rPr>
        <w:t xml:space="preserve"> </w:t>
      </w:r>
      <w:r>
        <w:rPr>
          <w:rFonts w:ascii="Times New Roman" w:hAnsi="Times New Roman"/>
          <w:b/>
          <w:sz w:val="12"/>
          <w:szCs w:val="12"/>
        </w:rPr>
        <w:t>Multiservizi dei Castelli di</w:t>
      </w:r>
      <w:r w:rsidRPr="00AE3019">
        <w:rPr>
          <w:rFonts w:ascii="Times New Roman" w:hAnsi="Times New Roman"/>
          <w:b/>
          <w:sz w:val="12"/>
          <w:szCs w:val="12"/>
        </w:rPr>
        <w:t xml:space="preserve"> Marino S.p.A.</w:t>
      </w:r>
      <w:r w:rsidRPr="00046EA0">
        <w:rPr>
          <w:rFonts w:ascii="Times New Roman" w:hAnsi="Times New Roman"/>
          <w:sz w:val="12"/>
          <w:szCs w:val="12"/>
        </w:rPr>
        <w:t xml:space="preserve"> </w:t>
      </w:r>
      <w:r w:rsidRPr="00046EA0">
        <w:rPr>
          <w:rFonts w:ascii="Times New Roman" w:hAnsi="Times New Roman"/>
          <w:bCs/>
          <w:iCs/>
          <w:sz w:val="12"/>
          <w:szCs w:val="12"/>
        </w:rPr>
        <w:t>D</w:t>
      </w:r>
      <w:r w:rsidRPr="00046EA0">
        <w:rPr>
          <w:rFonts w:ascii="Times New Roman" w:hAnsi="Times New Roman"/>
          <w:sz w:val="12"/>
          <w:szCs w:val="12"/>
        </w:rPr>
        <w:t>i tale obbligo sarà data comunicazione al dipendente all’atto dell’assegnazione ai suddetti progetti.</w:t>
      </w:r>
    </w:p>
  </w:endnote>
  <w:endnote w:id="31">
    <w:p w14:paraId="4C647E12"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9.</w:t>
      </w:r>
    </w:p>
  </w:endnote>
  <w:endnote w:id="32">
    <w:p w14:paraId="4645486A"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10. Il responsabile individuato ai sensi del comma 7 provvede anche: </w:t>
      </w:r>
    </w:p>
    <w:p w14:paraId="6AF7D61C"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alla verifica dell'efficace attuazione del piano e della sua idoneità, nonché a proporre la modifica dello stesso quando sono accertate significative violazioni delle prescrizioni ovvero quando intervengono mutamenti nell'organizzazione o nell’attività dell'amministrazione; </w:t>
      </w:r>
    </w:p>
    <w:p w14:paraId="40DDD493" w14:textId="67FC6D4D"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b) alla verifica, d'intesa con il </w:t>
      </w:r>
      <w:r>
        <w:rPr>
          <w:rFonts w:ascii="Times New Roman" w:hAnsi="Times New Roman" w:cs="Times New Roman"/>
          <w:sz w:val="12"/>
          <w:szCs w:val="12"/>
        </w:rPr>
        <w:t>Responsabile</w:t>
      </w:r>
      <w:r w:rsidRPr="00046EA0">
        <w:rPr>
          <w:rFonts w:ascii="Times New Roman" w:hAnsi="Times New Roman" w:cs="Times New Roman"/>
          <w:sz w:val="12"/>
          <w:szCs w:val="12"/>
        </w:rPr>
        <w:t xml:space="preserve"> competente, dell'effettiva rotazione degli incarichi negli uffici preposti allo svolgimento delle attività nel cui ambito è più elevato il rischio che siano commessi reati di corruzione; </w:t>
      </w:r>
    </w:p>
    <w:p w14:paraId="1930F488"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c) ad individuare il personale da inserire nei programmi di formazione di cui al comma 11.</w:t>
      </w:r>
    </w:p>
  </w:endnote>
  <w:endnote w:id="33">
    <w:p w14:paraId="0621B2D1"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43 “Responsabile per la trasparenza” </w:t>
      </w:r>
    </w:p>
    <w:p w14:paraId="55D5B23F"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1. All'interno di ogni amministrazione il responsabile per la prevenzione della corruzione, di cui all'articolo 1, comma 7, della legge 6 novembre 2012, n. 190, svolge, di norma, le funzioni di Responsabile per la trasparenza, di seguito «Responsabile», e il suo nominativo è indicato nel Piano triennale per la prevenzione della corruzione. Il responsabile svolge 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endnote>
  <w:endnote w:id="34">
    <w:p w14:paraId="1D1A235F" w14:textId="46335E7C" w:rsidR="00AE3019" w:rsidRPr="009720F3" w:rsidRDefault="00AE3019" w:rsidP="009720F3">
      <w:pPr>
        <w:pStyle w:val="Testonotadichiusura"/>
        <w:jc w:val="both"/>
        <w:rPr>
          <w:rFonts w:ascii="Times New Roman" w:hAnsi="Times New Roman"/>
          <w:sz w:val="12"/>
        </w:rPr>
      </w:pPr>
      <w:r w:rsidRPr="009720F3">
        <w:rPr>
          <w:rStyle w:val="Rimandonotadichiusura"/>
          <w:rFonts w:ascii="Times New Roman" w:hAnsi="Times New Roman"/>
          <w:sz w:val="12"/>
        </w:rPr>
        <w:endnoteRef/>
      </w:r>
      <w:r w:rsidRPr="009720F3">
        <w:rPr>
          <w:rFonts w:ascii="Times New Roman" w:hAnsi="Times New Roman"/>
          <w:sz w:val="12"/>
        </w:rPr>
        <w:t xml:space="preserve"> Tale soggetto competente è stato sin da subito (circolare del DFP n.1/2013) individuato nel RPCT. A proposito l’Autorità nel PNA 2016 (§ 5.2), richiamando tale disposizione ha auspicato la creazione di un rapporto di collaborazione all’interno delle p.a. con il RPCT specie da parte di quei soggetti che, in base alla programmazione del PTPC, sono responsabili dell’attuazione delle misure di prevenzione</w:t>
      </w:r>
    </w:p>
  </w:endnote>
  <w:endnote w:id="35">
    <w:p w14:paraId="124AC13D" w14:textId="74294795" w:rsidR="00AE3019" w:rsidRPr="00046EA0" w:rsidRDefault="00AE3019" w:rsidP="00DB6843">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39/2013, art.15, comma 3. Il provvedimento di revoca dell'incarico amministrativo di vertice o dirigenziale conferito al soggetto cui sono state affidate le funzioni di responsabile, comunque motivato, è comunicato all’Autorità nazionale anticorruzione che, entro trenta giorni, può formulare una richiesta di riesame qualora rilevi che la revoca sia correlata alle attività svolte dal responsabile in materia di prevenzione della corruzione. Decorso tale termine, la revoca diventa efficace.</w:t>
      </w:r>
    </w:p>
  </w:endnote>
  <w:endnote w:id="36">
    <w:p w14:paraId="3C670797"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12. In caso di commissione, all'interno dell'amministrazione, di un reato di corruzione accertato con sentenza passata in giudicato, il responsabile individuato ai sensi del comma 7 del presente articolo risponde ai sensi dell'articolo 21 del decreto legislativo 30 marzo 2001, n.165, e successive modificazioni, nonché sul piano disciplinare, oltre che per il danno erariale e all'immagine della pubblica amministrazione, salvo che provi tutte le seguenti circostanze: </w:t>
      </w:r>
    </w:p>
    <w:p w14:paraId="579B0851"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di avere predisposto, prima della commissione del fatto, il piano di cui al comma 5 e di aver osservato le prescrizioni di cui ai commi 9 e 10 del presente articolo; </w:t>
      </w:r>
    </w:p>
    <w:p w14:paraId="719B01CF"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b) di aver vigilato sul funzionamento e sull'osservanza del piano.</w:t>
      </w:r>
    </w:p>
  </w:endnote>
  <w:endnote w:id="37">
    <w:p w14:paraId="62A1621A" w14:textId="4614AC0C"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art.1, comma </w:t>
      </w:r>
      <w:r w:rsidRPr="00046EA0">
        <w:rPr>
          <w:rStyle w:val="Enfasigrassetto"/>
          <w:rFonts w:ascii="Times New Roman" w:hAnsi="Times New Roman"/>
          <w:b w:val="0"/>
          <w:iCs/>
          <w:sz w:val="12"/>
          <w:szCs w:val="12"/>
        </w:rPr>
        <w:t xml:space="preserve">14. In caso di ripetute violazioni delle misure di prevenzione previste dal Piano, il responsabile individuato ai sensi del comma 7 del presente articolo risponde ai sensi dell'articolo 21 del decreto legislativo 30 marzo 2001, n. 165, e successive modificazioni, nonché, per omesso controllo, sul piano disciplinare, salvo che provi di avere comunicato agli uffici le misure da adottare e le relative modalità e di avere vigilato sull'osservanza del Piano. La violazione, da parte dei dipendenti dell'amministrazione, delle misure di prevenzione previste dal Piano costituisce illecito disciplinare. Entro il 15 dicembre di ogni anno, il </w:t>
      </w:r>
      <w:r>
        <w:rPr>
          <w:rStyle w:val="Enfasigrassetto"/>
          <w:rFonts w:ascii="Times New Roman" w:hAnsi="Times New Roman"/>
          <w:b w:val="0"/>
          <w:iCs/>
          <w:sz w:val="12"/>
          <w:szCs w:val="12"/>
        </w:rPr>
        <w:t>Responsabile</w:t>
      </w:r>
      <w:r w:rsidRPr="00046EA0">
        <w:rPr>
          <w:rStyle w:val="Enfasigrassetto"/>
          <w:rFonts w:ascii="Times New Roman" w:hAnsi="Times New Roman"/>
          <w:b w:val="0"/>
          <w:iCs/>
          <w:sz w:val="12"/>
          <w:szCs w:val="12"/>
        </w:rPr>
        <w:t xml:space="preserve"> individuato ai sensi del comma 7 del presente articolo trasmette all'organismo indipendente di valutazione e all'organo di indirizzo dell'amministrazione una relazione recante i risultati dell’attività svolta e la pubblica nel sito web dell'amministrazione. Nei casi in cui l'organo di indirizzo lo</w:t>
      </w:r>
      <w:r>
        <w:rPr>
          <w:rStyle w:val="Enfasigrassetto"/>
          <w:rFonts w:ascii="Times New Roman" w:hAnsi="Times New Roman"/>
          <w:b w:val="0"/>
          <w:iCs/>
          <w:sz w:val="12"/>
          <w:szCs w:val="12"/>
        </w:rPr>
        <w:t xml:space="preserve"> richieda o qualora il </w:t>
      </w:r>
      <w:r w:rsidRPr="00046EA0">
        <w:rPr>
          <w:rStyle w:val="Enfasigrassetto"/>
          <w:rFonts w:ascii="Times New Roman" w:hAnsi="Times New Roman"/>
          <w:b w:val="0"/>
          <w:iCs/>
          <w:sz w:val="12"/>
          <w:szCs w:val="12"/>
        </w:rPr>
        <w:t>responsabile lo ritenga opportuno, quest'ultimo riferisce sull’attività.</w:t>
      </w:r>
    </w:p>
  </w:endnote>
  <w:endnote w:id="38">
    <w:p w14:paraId="2B2D7D73" w14:textId="41569283" w:rsidR="00AE3019" w:rsidRPr="00F620E3" w:rsidRDefault="00AE3019" w:rsidP="00F620E3">
      <w:pPr>
        <w:pStyle w:val="Testonotadichiusura"/>
        <w:jc w:val="both"/>
        <w:rPr>
          <w:rFonts w:ascii="Times New Roman" w:hAnsi="Times New Roman"/>
          <w:sz w:val="12"/>
        </w:rPr>
      </w:pPr>
      <w:r w:rsidRPr="00F620E3">
        <w:rPr>
          <w:rStyle w:val="Rimandonotadichiusura"/>
          <w:rFonts w:ascii="Times New Roman" w:hAnsi="Times New Roman"/>
          <w:sz w:val="12"/>
        </w:rPr>
        <w:endnoteRef/>
      </w:r>
      <w:r w:rsidRPr="00F620E3">
        <w:rPr>
          <w:rFonts w:ascii="Times New Roman" w:hAnsi="Times New Roman"/>
          <w:sz w:val="12"/>
        </w:rPr>
        <w:t xml:space="preserve"> «Testo unico delle disposizioni in materia di incandidabilità e di divieto di ricoprire cariche elettive e di Governo conseguenti a sentenze definitive di condanna per delitti non colposi, a norma dell’articolo 1, comma 63, della legge 6 novembre 2012, n. 190».</w:t>
      </w:r>
    </w:p>
  </w:endnote>
  <w:endnote w:id="39">
    <w:p w14:paraId="20F3130E" w14:textId="29A66260"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190/2012, art.1, comma </w:t>
      </w:r>
      <w:r w:rsidRPr="00046EA0">
        <w:rPr>
          <w:rStyle w:val="Enfasigrassetto"/>
          <w:rFonts w:ascii="Times New Roman" w:hAnsi="Times New Roman"/>
          <w:b w:val="0"/>
          <w:iCs/>
          <w:sz w:val="12"/>
          <w:szCs w:val="12"/>
        </w:rPr>
        <w:t xml:space="preserve">7. L'organo di indirizzo individua, di norma tra i </w:t>
      </w:r>
      <w:r>
        <w:rPr>
          <w:rStyle w:val="Enfasigrassetto"/>
          <w:rFonts w:ascii="Times New Roman" w:hAnsi="Times New Roman"/>
          <w:b w:val="0"/>
          <w:iCs/>
          <w:sz w:val="12"/>
          <w:szCs w:val="12"/>
        </w:rPr>
        <w:t>Dirigenti</w:t>
      </w:r>
      <w:r w:rsidRPr="00046EA0">
        <w:rPr>
          <w:rStyle w:val="Enfasigrassetto"/>
          <w:rFonts w:ascii="Times New Roman" w:hAnsi="Times New Roman"/>
          <w:b w:val="0"/>
          <w:iCs/>
          <w:sz w:val="12"/>
          <w:szCs w:val="12"/>
        </w:rPr>
        <w:t xml:space="preserve"> di ruolo in servizio, il Responsabile della prevenzione della corruzione e della trasparenza, disponendo le eventuali modifiche organizzative necessarie per assicurare funzioni e poteri idonei per lo svolgimento dell'incarico con piena autonomia ed effettività. Negli enti locali, il Responsabile della prevenzione della corruzione e della trasparenza è individuato, di norma, nel segretario o nel dirigente apicale, salva diversa e motivata determinazione. Nelle unioni di comuni, può essere nominato un unico responsabile della prevenzione della corruzione e della trasparenza. Il Responsabile della prevenzione della corruzione e della trasparenza segnala all'organo di indirizzo e all'organismo indipendente di valutazione le disfunzioni inerenti all'attuazione delle misure in materia di prevenzione della corruzione e di trasparenza e indica agli uffici competenti all'esercizio dell'azione disciplinare i nominativi dei dipendenti che non hanno attuato correttamente le misure in materia di prevenzione della corruzione e di trasparenza. Eventuali misure discriminatorie, dirette o indirette, nei confronti del Responsabile della prevenzione della corruzione e della trasparenza per motivi collegati, direttamente o indirettamente, allo svolgimento delle sue funzioni devono essere segnalate all’Autorità nazionale anticorruzione, che può chiedere informazioni all'organo di indirizzo e intervenire nelle forme di cui al comma 3, articolo 15, decreto legislativo 8 aprile 2013, n. 39.</w:t>
      </w:r>
    </w:p>
  </w:endnote>
  <w:endnote w:id="40">
    <w:p w14:paraId="282EC8B1"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La Banca Mondiale e </w:t>
      </w:r>
      <w:r w:rsidRPr="00046EA0">
        <w:rPr>
          <w:rFonts w:ascii="Times New Roman" w:hAnsi="Times New Roman"/>
          <w:i/>
          <w:sz w:val="12"/>
          <w:szCs w:val="12"/>
        </w:rPr>
        <w:t>Transparency International</w:t>
      </w:r>
      <w:r w:rsidRPr="00046EA0">
        <w:rPr>
          <w:rFonts w:ascii="Times New Roman" w:hAnsi="Times New Roman"/>
          <w:sz w:val="12"/>
          <w:szCs w:val="12"/>
        </w:rPr>
        <w:t xml:space="preserve"> concordano nel collocare il nostro Paese in posizione molto negativa nelle classifiche che misurano la percezione del fenomeno corruttivo.</w:t>
      </w:r>
    </w:p>
  </w:endnote>
  <w:endnote w:id="41">
    <w:p w14:paraId="25D60884" w14:textId="77777777" w:rsidR="00AE3019" w:rsidRPr="00046EA0" w:rsidRDefault="00AE3019" w:rsidP="00E12EE9">
      <w:pPr>
        <w:widowControl w:val="0"/>
        <w:autoSpaceDE w:val="0"/>
        <w:autoSpaceDN w:val="0"/>
        <w:adjustRightInd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sz w:val="12"/>
          <w:szCs w:val="12"/>
          <w:lang w:eastAsia="it-IT"/>
        </w:rPr>
        <w:t>Si evidenzia che in altri Paesi le politiche di contrasto sono state elaborate ed attuate già da decenni.</w:t>
      </w:r>
    </w:p>
  </w:endnote>
  <w:endnote w:id="42">
    <w:p w14:paraId="1F117E1B"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 1, comma 51. Dopo l'articolo 54 del decreto legislativo 30 marzo 2001, n. 165, è inserito il seguente: </w:t>
      </w:r>
    </w:p>
    <w:p w14:paraId="7D1F9697"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54-bis. - (Tutela del dipendente pubblico che segnala illeciti). - 1. Fuori dei casi di responsabilità a titolo di calunnia o diffamazione, ovvero per lo stesso titolo ai sensi dell'articolo 2043 del codice civile, il pubblico dipendente che denuncia all’autorità giudiziaria o alla Corte dei conti, ovvero riferisce al proprio superiore gerarchico condotte illecite di cui sia venuto a conoscenza in ragione del rapporto di lavoro, non può essere sanzionato, licenziato o sottoposto ad una misura discriminatoria, diretta o indiretta, avente effetti sulle condizioni di lavoro per motivi collegati direttamente o indirettamente alla denuncia. </w:t>
      </w:r>
    </w:p>
    <w:p w14:paraId="3FE11551"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 Nell'ambito del procedimento disciplinare, l’identità del segnalante non può essere rivelata, senza il suo consenso, sempre che la contestazione dell'addebito disciplinare sia fondata su accertamenti distinti e ulteriori rispetto alla segnalazione. Qualora la contestazione sia fondata, in tutto o in parte, sulla segnalazione, l’identità può essere rivelata ove la sua conoscenza sia assolutamente indispensabile per la difesa dell'incolpato. </w:t>
      </w:r>
    </w:p>
    <w:p w14:paraId="38FBA502"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3. L'adozione di misure discriminatorie è segnalata al Dipartimento della funzione pubblica, per i provvedimenti di competenza, dall'interessato o dalle organizzazioni sindacali maggiormente rappresentative nell'amministrazione nella quale le stesse sono state poste in essere. </w:t>
      </w:r>
    </w:p>
    <w:p w14:paraId="28F61CBD"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4. La denuncia è sottratta all'accesso previsto dagli articoli 22 e seguenti della legge 7 agosto 1990, n. 241, e successive modificazioni».</w:t>
      </w:r>
    </w:p>
  </w:endnote>
  <w:endnote w:id="43">
    <w:p w14:paraId="75DA01D4" w14:textId="77777777" w:rsidR="00AE3019" w:rsidRPr="00046EA0" w:rsidRDefault="00AE3019" w:rsidP="007943C8">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28</w:t>
      </w:r>
    </w:p>
  </w:endnote>
  <w:endnote w:id="44">
    <w:p w14:paraId="519CA52D"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28</w:t>
      </w:r>
    </w:p>
  </w:endnote>
  <w:endnote w:id="45">
    <w:p w14:paraId="0179976D"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16</w:t>
      </w:r>
    </w:p>
  </w:endnote>
  <w:endnote w:id="46">
    <w:p w14:paraId="729DED75"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Legge 689/1981. </w:t>
      </w:r>
      <w:r w:rsidRPr="00046EA0">
        <w:rPr>
          <w:rStyle w:val="dentro"/>
          <w:sz w:val="12"/>
          <w:szCs w:val="12"/>
        </w:rPr>
        <w:t>CAPO I</w:t>
      </w:r>
      <w:r w:rsidRPr="00046EA0">
        <w:rPr>
          <w:sz w:val="12"/>
          <w:szCs w:val="12"/>
        </w:rPr>
        <w:t xml:space="preserve"> - </w:t>
      </w:r>
      <w:r w:rsidRPr="00046EA0">
        <w:rPr>
          <w:rStyle w:val="dentro"/>
          <w:sz w:val="12"/>
          <w:szCs w:val="12"/>
        </w:rPr>
        <w:t>LE SANZIONI AMMINISTRATIVE</w:t>
      </w:r>
    </w:p>
    <w:p w14:paraId="2FAB90C6"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dentro"/>
          <w:sz w:val="12"/>
          <w:szCs w:val="12"/>
        </w:rPr>
        <w:t>SEZIONE I</w:t>
      </w:r>
      <w:r w:rsidRPr="00046EA0">
        <w:rPr>
          <w:sz w:val="12"/>
          <w:szCs w:val="12"/>
        </w:rPr>
        <w:t xml:space="preserve"> - </w:t>
      </w:r>
      <w:r w:rsidRPr="00046EA0">
        <w:rPr>
          <w:rStyle w:val="dentro"/>
          <w:sz w:val="12"/>
          <w:szCs w:val="12"/>
        </w:rPr>
        <w:t>PRINCIPI GENERALI</w:t>
      </w:r>
    </w:p>
    <w:p w14:paraId="63DDCBBA"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11. - (Criteri per l'applicazione delle sanzioni amministrative pecuniarie) </w:t>
      </w:r>
    </w:p>
    <w:p w14:paraId="4EDD8991"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Nella determinazione della sanzione amministrativa pecuniaria fissata dalla legge tra un limite minimo ed un limite massimo e dell’applicazione delle sanzioni accessorie facoltative, si ha riguardo alla gravità della violazione, all'opera svolta dall'agente per la eliminazione o attenuazione delle conseguenze della violazione, nonché alla personalità dello stesso e alle sue condizioni economiche.</w:t>
      </w:r>
    </w:p>
  </w:endnote>
  <w:endnote w:id="47">
    <w:p w14:paraId="23F36834"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Legge 689/1981. </w:t>
      </w:r>
      <w:r w:rsidRPr="00046EA0">
        <w:rPr>
          <w:rStyle w:val="dentro"/>
          <w:sz w:val="12"/>
          <w:szCs w:val="12"/>
        </w:rPr>
        <w:t>SEZIONE II</w:t>
      </w:r>
      <w:r w:rsidRPr="00046EA0">
        <w:rPr>
          <w:sz w:val="12"/>
          <w:szCs w:val="12"/>
        </w:rPr>
        <w:t xml:space="preserve"> - </w:t>
      </w:r>
      <w:r w:rsidRPr="00046EA0">
        <w:rPr>
          <w:rStyle w:val="dentro"/>
          <w:sz w:val="12"/>
          <w:szCs w:val="12"/>
        </w:rPr>
        <w:t>APPLICAZIONE</w:t>
      </w:r>
    </w:p>
    <w:p w14:paraId="4BF15547"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14. (Contestazione e notificazione) </w:t>
      </w:r>
    </w:p>
    <w:p w14:paraId="04615C17"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La violazione, quando e possibile, deve essere contestata immediatamente tanto al trasgressore quanto alla persona che sia obbligata in solido al pagamento della somma dovuta per la violazione stessa. </w:t>
      </w:r>
    </w:p>
    <w:p w14:paraId="261682EC"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Se non è avvenuta la contestazione immediata per tutte o per alcune delle persone indicate nel comma precedente, gli estremi della violazione debbono essere notificati agli interessati residenti nel territorio della Repubblica entro il termine di novanta giorni e a quelli residenti all'estero entro il termine di trecentosessanta giorni dall'accertamento. </w:t>
      </w:r>
    </w:p>
    <w:p w14:paraId="48A963C9"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Quando gli atti relativi alla violazione sono trasmessi all’autorità competente con provvedimento dell’autorità giudiziaria, i termini di cui al comma precedente decorrono dalla data della ricezione. </w:t>
      </w:r>
    </w:p>
    <w:p w14:paraId="2565FDDF"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Per la forma della contestazione immediata o della notificazione si applicano le disposizioni previste dalle leggi vigenti. In ogni caso la notificazione può esse effettuata, con le modalità previste dal codice di procedura civile, anche da un funzionario </w:t>
      </w:r>
    </w:p>
  </w:endnote>
  <w:endnote w:id="48">
    <w:p w14:paraId="54C92469"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689/1981. SEZIONE II - APPLICAZIONE </w:t>
      </w:r>
    </w:p>
    <w:p w14:paraId="4386A62A"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Art. 17. - (Obbligo del rapporto)</w:t>
      </w:r>
    </w:p>
    <w:p w14:paraId="1FA160D1"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Qualora non sia stato effettuato il pagamento in misura ridotta, il funzionario o l'agente che ha accertato la violazione, salvo che ricorra l'ipotesi prevista nell'articolo 24, deve presentare rapporto, con la prova delle eseguite contestazioni o notificazioni, all'ufficio periferico cui sono demandati attribuzioni e compiti del Ministero nella cui competenza rientra la materia alla quale si riferisce la violazione o, in mancanza, al prefetto.</w:t>
      </w:r>
    </w:p>
    <w:p w14:paraId="0D0BF750"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Deve essere presentato al prefetto il rapporto relativo alle violazioni previste dal testo unico delle norme sulla circolazione stradale, approvato con decreto del Presidente della Repubblica 15 giugno 1959, n. 393, dal testo unico per la tutela delle strade, approvato con regio decreto 8 dicembre 1933, numero 1740, e dalla legge 20 giugno 1935, numero 1349, sui servizi di trasporto merci.</w:t>
      </w:r>
    </w:p>
    <w:p w14:paraId="1F1B732F"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Nelle materie di competenza delle regioni e negli altri casi, per le funzioni amministrative ad esse delegate, il rapporto è presentato all'ufficio regionale competente.</w:t>
      </w:r>
    </w:p>
    <w:p w14:paraId="7B1E919C"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Per le violazioni dei regolamenti provinciali e comunali il rapporto è presentato, rispettivamente, al presidente della giunta provinciale o al sindaco.</w:t>
      </w:r>
    </w:p>
    <w:p w14:paraId="5EC50F12"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L'ufficio territorialmente competente è quello del luogo in cui è stata commessa la violazione. </w:t>
      </w:r>
    </w:p>
    <w:p w14:paraId="48E01A0D"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Il funzionario o l'agente che ha proceduto al sequestro previsto dall'articolo 13 deve immediatamente informare l’autorità amministrativa competente a norma dei precedenti commi, inviandole il processo verbale di sequestro.</w:t>
      </w:r>
    </w:p>
    <w:p w14:paraId="58544FDE"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Con decreto del Presidente della Repubblica, su proposta del Presidente del Consiglio dei ministri, da emanare entro centottanta giorni dalla pubblicazione della presente legge, in sostituzione del decreto del Presidente della Repubblica 13 maggio 1976, n. 407, saranno indicati gli uffici periferici dei singoli Ministeri, previsti nel primo comma, anche per i casi in cui leggi precedenti abbiano regolato diversamente la competenza.</w:t>
      </w:r>
    </w:p>
    <w:p w14:paraId="3588EE1C" w14:textId="77777777" w:rsidR="00AE3019" w:rsidRDefault="00AE3019" w:rsidP="001C5AC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Con il decreto indicato nel comma precedente saranno stabilite le modalità relative alla esecuzione del sequestro previsto dall'articolo 13, al trasporto ed alla consegna delle cose sequestrate, alla custodia ed alla eventuale alienazione o distruzione delle stesse; sarà altresì stabilita la destinazione delle cose confiscate. Le regioni, per le materie di loro competenza, provvederanno con legge nel termine previsto dal comma precedente.</w:t>
      </w:r>
    </w:p>
    <w:p w14:paraId="612388AE"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Legge 689/1981. SEZIONE II – APPLICAZIONE</w:t>
      </w:r>
    </w:p>
    <w:p w14:paraId="2B3F5341"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18. (Ordinanza-ingiunzione)</w:t>
      </w:r>
    </w:p>
    <w:p w14:paraId="3769A880"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Entro il termine di trenta giorni dalla data della contestazione o notificazione della violazione, gli interessati possono far pervenire all’autorità competente a ricevere il rapporto a norma dell'articolo 17 scritti difensivi e documenti e possono chiedere di essere sentiti dalla medesima autorità.</w:t>
      </w:r>
    </w:p>
    <w:p w14:paraId="6B71FFB4"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L’autorità competente, sentiti gli interessati, ove questi ne abbiano fatto richiesta, ed esaminati i documenti inviati e gli argomenti esposti negli scritti difensivi, se ritiene fondato l'accertamento, determina, con ordinanza motivata, la somma dovuta per la violazione e ne ingiunge il pagamento, insieme con le spese, all'autore della violazione ed alle persone che vi sono obbligate solidalmente; altrimenti emette ordinanza motivata di archiviazione degli atti comunicandola integralmente all'organo che ha redatto il rapporto.</w:t>
      </w:r>
    </w:p>
    <w:p w14:paraId="0F6B87FE"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Con l'ordinanza-ingiunzione deve essere disposta la restituzione, previo pagamento delle spese di custodia, delle cose sequestrate, che non siano confiscate con lo stesso provvedimento. La restituzione delle cose sequestrate è altresì disposta con l'ordinanza di archiviazione, quando non ne sia obbligatoria la confisca.</w:t>
      </w:r>
    </w:p>
    <w:p w14:paraId="2B4CC875"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Il pagamento è effettuato all'ufficio del registro o al diverso ufficio indicato nella ordinanza-ingiunzione, entro il termine di trenta giorni dalla notificazione di detto provvedimento, eseguita nelle forme previste dall'articolo 14; del pagamento è data comunicazione, entro il trentesimo giorno, a cura dell'ufficio che lo ha ricevuto, all’autorità che ha emesso l'ordinanza.</w:t>
      </w:r>
    </w:p>
    <w:p w14:paraId="3BB2F849"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Il termine per il pagamento è di sessanta giorni se l'interessato risiede all'estero.</w:t>
      </w:r>
    </w:p>
    <w:p w14:paraId="5BEBE2CF" w14:textId="77777777" w:rsidR="00AE3019" w:rsidRPr="00046EA0" w:rsidRDefault="00AE3019" w:rsidP="001C5AC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b/>
          <w:sz w:val="12"/>
          <w:szCs w:val="12"/>
        </w:rPr>
      </w:pPr>
      <w:r w:rsidRPr="00046EA0">
        <w:rPr>
          <w:rFonts w:ascii="Times New Roman" w:hAnsi="Times New Roman" w:cs="Times New Roman"/>
          <w:b/>
          <w:sz w:val="12"/>
          <w:szCs w:val="12"/>
        </w:rPr>
        <w:t xml:space="preserve"> </w:t>
      </w:r>
      <w:r w:rsidRPr="00046EA0">
        <w:rPr>
          <w:rStyle w:val="Enfasigrassetto"/>
          <w:rFonts w:ascii="Times New Roman" w:hAnsi="Times New Roman" w:cs="Times New Roman"/>
          <w:b w:val="0"/>
          <w:iCs/>
          <w:sz w:val="12"/>
          <w:szCs w:val="12"/>
        </w:rPr>
        <w:t>La notificazione dell'ordinanza-ingiunzione può essere eseguita dall'ufficio che adotta l'atto, secondo le modalità di cui alla legge 20 novembre 1982, n.890</w:t>
      </w:r>
      <w:r w:rsidRPr="00046EA0">
        <w:rPr>
          <w:rFonts w:ascii="Times New Roman" w:hAnsi="Times New Roman" w:cs="Times New Roman"/>
          <w:b/>
          <w:sz w:val="12"/>
          <w:szCs w:val="12"/>
        </w:rPr>
        <w:t>.</w:t>
      </w:r>
    </w:p>
    <w:p w14:paraId="0368F452" w14:textId="77777777" w:rsidR="00AE3019" w:rsidRPr="00046EA0" w:rsidRDefault="00AE3019" w:rsidP="001C5AC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L'ordinanza-ingiunzione costituisce titolo esecutivo. Tuttavia l'ordinanza che dispone la confisca diventa esecutiva dopo il decorso del termine per proporre opposizione, o, nel caso in cui l'opposizione è proposta, con il passaggio in giudicato della sentenza con la quale si rigetta l'opposizione, o quando l'ordinanza con la quale viene dichiarata inammissibile l'opposizione o convalidato il provvedimento opposto diviene inoppugnabile o è dichiarato inammissibile il ricorso proposto avverso la stessa.</w:t>
      </w:r>
    </w:p>
  </w:endnote>
  <w:endnote w:id="49">
    <w:p w14:paraId="6C71AE73"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w:t>
      </w:r>
      <w:r>
        <w:rPr>
          <w:rFonts w:ascii="Times New Roman" w:hAnsi="Times New Roman"/>
          <w:sz w:val="12"/>
          <w:szCs w:val="12"/>
        </w:rPr>
        <w:t>precedente</w:t>
      </w:r>
    </w:p>
  </w:endnote>
  <w:endnote w:id="50">
    <w:p w14:paraId="603E689D"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Capo II – Dirigenza</w:t>
      </w:r>
    </w:p>
    <w:p w14:paraId="55402C2C"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dentro"/>
          <w:sz w:val="12"/>
          <w:szCs w:val="12"/>
        </w:rPr>
        <w:t>Sezione I</w:t>
      </w:r>
      <w:r w:rsidRPr="00046EA0">
        <w:rPr>
          <w:sz w:val="12"/>
          <w:szCs w:val="12"/>
        </w:rPr>
        <w:t xml:space="preserve"> - </w:t>
      </w:r>
      <w:r w:rsidRPr="00046EA0">
        <w:rPr>
          <w:rStyle w:val="dentro"/>
          <w:sz w:val="12"/>
          <w:szCs w:val="12"/>
        </w:rPr>
        <w:t>Qualifiche, uffici dirigenziali ed attribuzioni</w:t>
      </w:r>
    </w:p>
    <w:p w14:paraId="19EB655C" w14:textId="433FFE5D"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Articolo 16 - Funzioni dei  di uffici dirigenziali generali </w:t>
      </w:r>
    </w:p>
    <w:p w14:paraId="769C37E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(Art.16 del D.Lgs. n.29 del 1993, come sostituito prima dall'art.9 del D.Lgs. n.546 del 1993 e poi dall'art.11 del D.Lgs. n. 80 del 1998 e successivamente modificato dall'art.4 del D.Lgs. n.387 del 1998) </w:t>
      </w:r>
    </w:p>
    <w:p w14:paraId="621AD0E5" w14:textId="090E18B2"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 I  di uffici dirigenziali generali, comunque denominati, nell'ambito di quanto stabilito dall'articolo 4 esercitano, fra gli altri, i seguenti compiti e poteri: </w:t>
      </w:r>
    </w:p>
    <w:p w14:paraId="39CCD1C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w:t>
      </w:r>
      <w:r w:rsidRPr="00046EA0">
        <w:rPr>
          <w:rStyle w:val="Enfasigrassetto"/>
          <w:rFonts w:ascii="Times New Roman" w:hAnsi="Times New Roman" w:cs="Times New Roman"/>
          <w:b w:val="0"/>
          <w:iCs/>
          <w:sz w:val="12"/>
          <w:szCs w:val="12"/>
        </w:rPr>
        <w:t>l-quater) provvedono al monitoraggio delle attività nell'ambito delle quali è più elevato il rischio corruzione svolte nell'ufficio a cui sono preposti, disponendo, con provvedimento motivato, la rotazione del personale nei casi di avvio di procedimenti penali o disciplinari per condotte di natura corruttiva.</w:t>
      </w:r>
      <w:r w:rsidRPr="00046EA0">
        <w:rPr>
          <w:rFonts w:ascii="Times New Roman" w:hAnsi="Times New Roman" w:cs="Times New Roman"/>
          <w:sz w:val="12"/>
          <w:szCs w:val="12"/>
        </w:rPr>
        <w:t xml:space="preserve"> </w:t>
      </w:r>
    </w:p>
  </w:endnote>
  <w:endnote w:id="51">
    <w:p w14:paraId="0199CC44"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Titolo IV</w:t>
      </w:r>
      <w:r w:rsidRPr="00046EA0">
        <w:rPr>
          <w:sz w:val="12"/>
          <w:szCs w:val="12"/>
        </w:rPr>
        <w:t xml:space="preserve"> - </w:t>
      </w:r>
      <w:r w:rsidRPr="00046EA0">
        <w:rPr>
          <w:rStyle w:val="dentro"/>
          <w:sz w:val="12"/>
          <w:szCs w:val="12"/>
        </w:rPr>
        <w:t>RAPPORTO Dl LAVORO</w:t>
      </w:r>
    </w:p>
    <w:p w14:paraId="043E0CEC"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Fonts w:ascii="Times New Roman" w:hAnsi="Times New Roman" w:cs="Times New Roman"/>
          <w:sz w:val="12"/>
          <w:szCs w:val="12"/>
        </w:rPr>
        <w:t xml:space="preserve"> Art. 55-ter - </w:t>
      </w:r>
      <w:r w:rsidRPr="00046EA0">
        <w:rPr>
          <w:rStyle w:val="Enfasigrassetto"/>
          <w:rFonts w:ascii="Times New Roman" w:hAnsi="Times New Roman" w:cs="Times New Roman"/>
          <w:b w:val="0"/>
          <w:iCs/>
          <w:sz w:val="12"/>
          <w:szCs w:val="12"/>
        </w:rPr>
        <w:t>(Rapporti fra procedimento disciplinare e procedimento penale).</w:t>
      </w:r>
    </w:p>
    <w:p w14:paraId="5B826066"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Enfasigrassetto"/>
          <w:rFonts w:ascii="Times New Roman" w:hAnsi="Times New Roman"/>
          <w:b w:val="0"/>
          <w:iCs/>
          <w:sz w:val="12"/>
          <w:szCs w:val="12"/>
        </w:rPr>
        <w:t xml:space="preserve"> 1. Il procedimento disciplinare, che abbia ad oggetto, in tutto o in parte, fatti in relazione ai quali procede l’autorità giudiziaria, è proseguito e concluso anche in pendenza del procedimento penale. Per le infrazioni di minore gravità, di cui all'articolo 55-bis, comma 1, primo periodo, non è ammessa la sospensione del procedimento. Per le infrazioni di maggiore gravità, di cui all'articolo 55-bis, comma 1, secondo periodo, l'ufficio competente, nei casi di particolare complessità dell'accertamento del fatto addebitato al dipendente e quando all'esito dell'istruttoria non dispone di elementi sufficienti a motivare l'irrogazione della sanzione, può sospendere il procedimento disciplinare fino al termine di quello penale, salva la possibilità di adottare la sospensione o altri strumenti cautelari nei confronti del dipendente.</w:t>
      </w:r>
    </w:p>
  </w:endnote>
  <w:endnote w:id="52">
    <w:p w14:paraId="33B903E7"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4</w:t>
      </w:r>
      <w:r>
        <w:rPr>
          <w:rFonts w:ascii="Times New Roman" w:hAnsi="Times New Roman"/>
          <w:sz w:val="12"/>
          <w:szCs w:val="12"/>
        </w:rPr>
        <w:t>0</w:t>
      </w:r>
    </w:p>
  </w:endnote>
  <w:endnote w:id="53">
    <w:p w14:paraId="5BD77D26"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art.1, comma 9. Il piano di cui al comma 5 risponde alle seguenti esigenze: </w:t>
      </w:r>
    </w:p>
    <w:p w14:paraId="74E8F889"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e) </w:t>
      </w:r>
      <w:r w:rsidRPr="00046EA0">
        <w:rPr>
          <w:rStyle w:val="Enfasigrassetto"/>
          <w:rFonts w:ascii="Times New Roman" w:hAnsi="Times New Roman" w:cs="Times New Roman"/>
          <w:b w:val="0"/>
          <w:iCs/>
          <w:sz w:val="12"/>
          <w:szCs w:val="12"/>
        </w:rPr>
        <w:t>definire le modalità di monitoraggio dei</w:t>
      </w:r>
      <w:r w:rsidRPr="00046EA0">
        <w:rPr>
          <w:rFonts w:ascii="Times New Roman" w:hAnsi="Times New Roman" w:cs="Times New Roman"/>
          <w:sz w:val="12"/>
          <w:szCs w:val="12"/>
        </w:rPr>
        <w:t xml:space="preserve"> rapporti tra</w:t>
      </w:r>
    </w:p>
    <w:p w14:paraId="2893A8E4" w14:textId="7CD60F25"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l'amministrazione e i soggetti che con la stessa stipulano contratti o che sono interessati a procedimenti di autorizzazione, concessione o erogazione di vantaggi economici di qualunque genere, anche verificando eventuali relazioni di parentela o affinità sussistenti tra i titolari, gli amministratori, i soci e i dipendenti degli stessi soggetti e i  e i dipendenti dell'amministrazione;</w:t>
      </w:r>
    </w:p>
  </w:endnote>
  <w:endnote w:id="54">
    <w:p w14:paraId="43C2F5E4"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D.P.C.M. 23 marzo 2012, art.3, comma 2. Ai fini dell'applicazione della disciplina di cui al comma 1, sono computate in modo cumulativo le somme comunque erogate all'interessato a carico del medesimo o di più organismi, anche nel caso di pluralità di incarichi conferiti da uno stesso organismo nel corso dell'anno. A tale fine, i soggetti destinatari di cui all'articolo 2 sono tenuti a produrre all'amministrazione di appartenenza, entro 30 giorni dalla data di pubblicazione del presente decreto, una dichiarazione ricognitiva di tutti gli incarichi comunque in atto a carico della finanza pubblica, con l'indicazione dei relativi importi. A regime, tale dichiarazione è resa entro il 30 novembre di ciascun anno.</w:t>
      </w:r>
    </w:p>
  </w:endnote>
  <w:endnote w:id="55">
    <w:p w14:paraId="295FF51C"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39/2013. </w:t>
      </w:r>
      <w:r w:rsidRPr="00046EA0">
        <w:rPr>
          <w:rStyle w:val="dentro"/>
          <w:sz w:val="12"/>
          <w:szCs w:val="12"/>
        </w:rPr>
        <w:t xml:space="preserve">Capo VII </w:t>
      </w:r>
      <w:r w:rsidRPr="00046EA0">
        <w:rPr>
          <w:sz w:val="12"/>
          <w:szCs w:val="12"/>
        </w:rPr>
        <w:t xml:space="preserve">- </w:t>
      </w:r>
      <w:r w:rsidRPr="00046EA0">
        <w:rPr>
          <w:rStyle w:val="dentro"/>
          <w:sz w:val="12"/>
          <w:szCs w:val="12"/>
        </w:rPr>
        <w:t xml:space="preserve">Vigilanza e sanzioni </w:t>
      </w:r>
    </w:p>
    <w:p w14:paraId="614AFF5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15 - Vigilanza sul rispetto delle disposizioni in materia di inconferibilità e incompatibilità nelle pubbliche amministrazioni e negli enti di diritto privato in controllo pubblico </w:t>
      </w:r>
    </w:p>
    <w:p w14:paraId="1533D54D"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1. Il responsabile del piano anticorruzione di ciascuna amministrazione pubblica, ente pubblico e ente di diritto privato in controllo pubblico, di seguito denominato «responsabile», cura, anche attraverso le disposizioni del piano anticorruzione, che nell'amministrazione, ente pubblico e ente di diritto privato in controllo pubblico siano rispettate le disposizioni del presente decreto sulla inconferibilità e incompatibilità degli incarichi. A tale fine il responsabile contesta all'interessato l'esistenza o l'insorgere delle situazioni di inconferibilità o incompatibilità di cui al presente decreto.</w:t>
      </w:r>
    </w:p>
  </w:endnote>
  <w:endnote w:id="56">
    <w:p w14:paraId="008AB322"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39/2013. </w:t>
      </w:r>
      <w:r w:rsidRPr="00046EA0">
        <w:rPr>
          <w:rStyle w:val="dentro"/>
          <w:sz w:val="12"/>
          <w:szCs w:val="12"/>
        </w:rPr>
        <w:t xml:space="preserve">Capo VIII </w:t>
      </w:r>
      <w:r w:rsidRPr="00046EA0">
        <w:rPr>
          <w:sz w:val="12"/>
          <w:szCs w:val="12"/>
        </w:rPr>
        <w:t xml:space="preserve">- </w:t>
      </w:r>
      <w:r w:rsidRPr="00046EA0">
        <w:rPr>
          <w:rStyle w:val="dentro"/>
          <w:sz w:val="12"/>
          <w:szCs w:val="12"/>
        </w:rPr>
        <w:t xml:space="preserve">Norme finali e transitorie </w:t>
      </w:r>
    </w:p>
    <w:p w14:paraId="6406CFC1"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20 - Dichiarazione sulla insussistenza di cause di inconferibilità o incompatibilità </w:t>
      </w:r>
    </w:p>
    <w:p w14:paraId="745D05FD"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1. All'atto del conferimento dell'incarico l'interessato presenta una dichiarazione sulla insussistenza di una delle cause di inconferibilità di cui al presente decreto.</w:t>
      </w:r>
    </w:p>
  </w:endnote>
  <w:endnote w:id="57">
    <w:p w14:paraId="2FBBAF46"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Titolo IV - RAPPORTO Dl LAVORO</w:t>
      </w:r>
    </w:p>
    <w:p w14:paraId="4E3FEDB7" w14:textId="477588D0"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53 - Incompatibilità, cumulo di impieghi e incarichi (Art. 58 del D.Lgs. n. 29 del 1993, come modificato prima dall'art. 2 del decreto legge n. 358 del 1993, convertito dalla legge n. 448 del 1993, poi dall'art. 1 del decreto legge n. 361 del 1995, convertito con modificazioni dalla legge n. 437 del 1995, e, infine, dall'art. 26 del D.Lgs. n. 80 del 1998 nonché dall'art. 16 del D.Lgs. n. 387 del 1998)</w:t>
      </w:r>
      <w:r>
        <w:rPr>
          <w:rFonts w:ascii="Times New Roman" w:hAnsi="Times New Roman" w:cs="Times New Roman"/>
          <w:sz w:val="12"/>
          <w:szCs w:val="12"/>
        </w:rPr>
        <w:t>.</w:t>
      </w:r>
      <w:r w:rsidRPr="00046EA0">
        <w:rPr>
          <w:rFonts w:ascii="Times New Roman" w:hAnsi="Times New Roman" w:cs="Times New Roman"/>
          <w:sz w:val="12"/>
          <w:szCs w:val="12"/>
        </w:rPr>
        <w:t xml:space="preserve"> </w:t>
      </w:r>
    </w:p>
    <w:p w14:paraId="058F64CB"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 Resta ferma per tutti i dipendenti pubblici la disciplina delle incompatibilità dettata dagli articoli 60 e seguenti del testo unico approvato con decreto del Presidente della Repubblica 10 gennaio 1957, n. 3, salva la deroga prevista dall'articolo 23-bis del presente decreto, nonché, per i rapporti di lavoro a tempo parziale, dall'articolo 6, comma 2, del decreto del Presidente del Consiglio dei ministri 17 marzo 1989, n. 117 e dall'articolo 1, commi 57 e seguenti della legge 23 dicembre 1996, n. 662. Restano ferme altresì le disposizioni di cui agli articoli 267, comma 1, 273, 274, 508 nonché 676 del decreto legislativo 16 aprile 1994, n. 297, all'articolo 9, commi 1 e 2, della legge 23 dicembre 1992, n. 498, all'articolo 4, comma 7, della legge 30 dicembre 1991, n. 412, ed ogni altra successiva modificazione ed integrazione della relativa disciplina. </w:t>
      </w:r>
    </w:p>
    <w:p w14:paraId="691A7505"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1-bis. Non possono essere conferiti incarichi di direzione di strutture deputate alla gestione del personale a soggetti che rivestano o abbiano rivestito negli ultimi due anni cariche in partiti politici o in organizzazioni sindacali o che abbiano avuto negli ultimi due anni rapporti continuativi di collaborazione o di consulenza con le predette organizzazioni. </w:t>
      </w:r>
    </w:p>
    <w:p w14:paraId="37082047"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 Le pubbliche amministrazioni non possono conferire ai dipendenti incarichi, non compresi nei compiti e doveri di ufficio, che non siano espressamente previsti o disciplinati da legge o altre fonti normative, o che non siano espressamente autorizzati. </w:t>
      </w:r>
    </w:p>
    <w:p w14:paraId="4DCB0701"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3. Ai fini previsti dal comma 2, con appositi regolamenti, da emanarsi ai sensi dell'articolo 17, comma 2, della legge 23 agosto 1988, n. 400, sono individuati gli incarichi consentiti e quelli vietati ai magistrati ordinari, amministrativi, contabili e militari, nonché agli avvocati e procuratori dello Stato, sentiti, per le diverse magistrature, i rispettivi istituti. </w:t>
      </w:r>
    </w:p>
    <w:p w14:paraId="00D88896"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3-bis. Ai fini previsti dal comma 2, con appositi regolamenti emanati su proposta del Ministro per la pubblica amministrazione e la semplificazione, di concerto con i Ministri interessati, ai sensi dell'articolo 17, comma 2, della legge 23 agosto 1988, n. 400, e successive modificazioni, sono individuati, secondo criteri differenziati in rapporto alle diverse qualifiche e ruoli professionali, gli incarichi vietati ai dipendenti delle amministrazioni pubbliche di cui all'articolo 1, comma 2. </w:t>
      </w:r>
    </w:p>
    <w:p w14:paraId="0DFC8018"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4. Nel caso in cui i regolamenti di cui al comma 3 non siano emanati, l'attribuzione degli incarichi è consentita nei soli casi espressamente previsti dalla legge o da altre fonti normative. </w:t>
      </w:r>
    </w:p>
    <w:p w14:paraId="2ACAC288"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5. In ogni caso, il conferimento operato direttamente dall'amministrazione, nonché l'autorizzazione all'esercizio di incarichi che provengano da amministrazione pubblica diversa da quella di appartenenza, ovvero da società o persone fisiche, che svolgano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 </w:t>
      </w:r>
    </w:p>
    <w:p w14:paraId="3F95A805"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6. I commi da 7 a 13 del presente articolo si applicano ai dipendenti delle amministrazioni pubbliche di cui all'articolo 1, comma 2, compresi quelli di cui all'articolo 3, con esclusione dei dipendenti con rapporto di lavoro a tempo parziale con prestazione lavorativa non superiore al cinquanta per cento di quella a tempo pieno, dei docenti universitari a tempo definito e delle altre categorie di dipendenti pubblici ai quali è consentito da disposizioni speciali lo svolgimento di attività libero-professionali. Sono nulli tutti gli atti e provvedimenti comunque denominati, regolamentari e amministrativi, adottati dalle amministrazioni di appartenenza in contrasto con il presente comma. Gli incarichi retribuiti, di cui ai commi seguenti, sono tutti gli incarichi, anche occasionali, non compresi nei compiti e doveri di ufficio, per i quali è previsto, sotto qualsiasi forma, un compenso. Sono esclusi i compensi derivanti: </w:t>
      </w:r>
    </w:p>
    <w:p w14:paraId="6B5BAA62"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dalla collaborazione a giornali, riviste, enciclopedie e simili; </w:t>
      </w:r>
    </w:p>
    <w:p w14:paraId="36A45C9A"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b) dalla utilizzazione economica da parte dell'autore o inventore di opere dell'ingegno e di invenzioni industriali; </w:t>
      </w:r>
    </w:p>
    <w:p w14:paraId="5A81421B"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 dalla partecipazione a convegni e seminari; </w:t>
      </w:r>
    </w:p>
    <w:p w14:paraId="2BD1EE8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d) da incarichi per i quali è corrisposto solo il rimborso delle spese documentate; </w:t>
      </w:r>
    </w:p>
    <w:p w14:paraId="2FB9BB3E"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e) da incarichi per lo svolgimento dei quali il dipendente è posto in posizione di aspettativa, di comando o di fuori ruolo; </w:t>
      </w:r>
    </w:p>
    <w:p w14:paraId="03510475"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f) da incarichi conferiti dalle organizzazioni sindacali a dipendenti presso le stesse distaccati o in aspettativa non retribuita;</w:t>
      </w:r>
    </w:p>
    <w:p w14:paraId="5624A231"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f-bis) da attività di formazione diretta ai dipendenti della pubblica amministrazione nonché di docenza e di ricerca scientifica. </w:t>
      </w:r>
    </w:p>
    <w:p w14:paraId="566F19A7"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7. I dipendenti pubblici non possono svolgere incarichi retribuiti che non siano stati conferiti o previamente autorizzati dall'amministrazione di appartenenza. Ai fini dell'autorizzazione, l'amministrazione verifica l'insussistenza di situazioni, anche potenziali, di conflitto di interessi. Con riferimento ai professori universitari a tempo pieno, gli statuti o i regolamenti degli atenei disciplinano i criteri e le procedure per il rilascio dell'autorizzazione nei casi previsti dal presente decreto. In caso di inosservanza del divieto, salve le più gravi sanzioni e ferma restando la responsabilità disciplinare, il compenso dovuto per le prestazioni eventualmente svolte deve essere versato, a cura dell'erogante o, in difetto, del percettore, nel conto dell'entrata del bilancio dell'amministrazione di appartenenza del dipendente per essere destinato ad incremento del fondo di produttività o di fondi equivalenti. </w:t>
      </w:r>
    </w:p>
    <w:p w14:paraId="7F380311"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7-bis. L'omissione del versamento del compenso da parte del dipendente pubblico indebito percettore costituisce ipotesi di responsabilità erariale soggetta alla giurisdizione della Corte dei Conti. </w:t>
      </w:r>
    </w:p>
    <w:p w14:paraId="22DA967E"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8. Le pubbliche amministrazioni non possono conferire incarichi retribuiti a dipendenti di altre amministrazioni pubbliche senza la previa autorizzazione dell'amministrazione di appartenenza dei dipendenti stessi. Salve le più gravi sanzioni, il conferimento dei predetti incarichi, senza la previa autorizzazione, costituisce in ogni caso infrazione disciplinare per il funzionario responsabile del procedimento; il relativo provvedimento è nullo di diritto. In tal caso l'importo previsto come corrispettivo dell'incarico, ove gravi su fondi in disponibilità dell'amministrazione conferente, è trasferito all'amministrazione di appartenenza del dipendente ad incremento del fondo di produttività o di fondi equivalenti. </w:t>
      </w:r>
    </w:p>
    <w:p w14:paraId="36CC283B"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9. Gli enti pubblici economici e i soggetti privati non possono conferire incarichi retribuiti a dipendenti pubblici senza la previa autorizzazione dell'amministrazione di appartenenza dei dipendenti stessi. Ai fini dell'autorizzazione, l'amministrazione verifica l'insussistenza di situazioni, anche potenziali, di conflitto di interessi. In caso di inosservanza si applica la disposizione dell'articolo 6, comma 1, del decreto legge 28 marzo 1997, n. 79, convertito, con modificazioni, dalla legge 28 maggio 1997, n. 140, e successive modificazioni ed integrazioni. All'accertamento delle violazioni e all'irrogazione delle sanzioni provvede il Ministero delle finanze, avvalendosi della Guardia di finanza, secondo le disposizioni della legge 24 novembre 1981, n. 689, e successive modificazioni ed integrazioni. Le somme riscosse sono acquisite alle entrate del Ministero delle finanze. </w:t>
      </w:r>
    </w:p>
    <w:p w14:paraId="51302BB6"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10. L'autorizzazione, di cui ai commi precedenti, deve essere richiesta all'amministrazione di appartenenza del dipendente dai soggetti pubblici o privati, che intendono conferire l'incarico; può, altresì, essere richiesta dal dipendente interessato. L'amministrazione di appartenenza deve pronunciarsi sulla richiesta di autorizzazione entro trenta giorni dalla ricezione della richiesta stessa. Per il personale che presta comunque servizio presso amministrazioni pubbliche diverse da quelle di appartenenza, l'autorizzazione è subordinata all'intesa tra le due amministrazioni. In tal caso il termine per provvedere è per l'amministrazione di appartenenza di 45 giorni e sì prescinde dall'intesa se l'amministrazione presso la quale il dipendente presta servizio non si pronunzia entro 10 giorni dalla ricezione della richiesta di intesa da parte dell'amministrazione di appartenenza. Decorso il termine per provvedere, l'autorizzazione, se richiesta per incarichi da conferirsi da amministrazioni pubbliche, si intende accordata; in ogni altro caso, si intende definitivamente negata. </w:t>
      </w:r>
    </w:p>
    <w:p w14:paraId="4009BB83"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11. Entro quindici giorni dall'erogazione del compenso per gli incarichi di cui al comma 6, i soggetti pubblici o privati comunicano all'amministrazione di appartenenza l'ammontare dei compensi erogati ai dipendenti pubblici. </w:t>
      </w:r>
    </w:p>
    <w:p w14:paraId="506B54A0"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12. Le amministrazioni pubbliche che conferiscono o autorizzano incarichi, anche a titolo gratuito, ai propri dipendenti comunicano in via telematica, nel termine di quindici giorni, al Dipartimento della funzione pubblica gli incarichi conferiti o autorizzati ai dipendenti stessi, con l'indicazione dell'oggetto dell'incarico e del compenso lordo, ove previsto. La comunicazione è accompagnata da una relazione nella quale sono indicate le norme in applicazione delle quali gli incarichi sono stati conferiti o autorizzati, le ragioni del conferimento o dell'autorizzazione, i criteri di scelta dei dipendenti cui gli incarichi sono stati conferiti o autorizzati e la rispondenza dei medesimi ai principi di buon andamento dell'amministrazione, nonché le misure che si intendono adottare per il contenimento della spesa. Entro il 30 giugno di ciascun anno e con le stesse modalità le amministrazioni che, nell'anno precedente, non hanno conferito o autorizzato incarichi ai propri dipendenti, anche se comandati o fuori ruolo, dichiarano di non aver conferito o autorizzato incarichi. </w:t>
      </w:r>
    </w:p>
    <w:p w14:paraId="409A5544"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13. Entro il 30 giugno di ciascun anno le amministrazioni di appartenenza sono tenute a comunicare al Dipartimento della funzione pubblica, in via telematica o su apposito supporto magnetico, per ciascuno dei propri dipendenti e distintamente per ogni incarico conferito o autorizzato, i compensi, relativi all'anno precedente, da esse erogati o della cui erogazione abbiano avuto comunicazione dai soggetti di cui al comma 11. </w:t>
      </w:r>
    </w:p>
    <w:p w14:paraId="7BC5F50E"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14. Al fine della verifica dell'applicazione delle norme di cui all'articolo 1, commi 123 e 127, della legge 23 dicembre 1996, n. 662, e successive modificazioni e integrazioni, le amministrazioni pubbliche sono tenute a comunicare al Dipartimento della funzione pubblica, in via telematica o su supporto magnetico, entro il 30 giugno di ciascun anno, i compensi percepiti dai propri dipendenti anche per incarichi relativi a compiti e doveri d'ufficio; sono altresì tenute a comunicare semestralmente l'elenco dei collaboratori esterni e dei soggetti cui sono stati affidati incarichi di consulenza, con l'indicazione della ragione dell'incarico e dell'ammontare dei compensi corrisposti. Le amministrazioni rendono noti, mediante inserimento nelle proprie banche dati accessibili al pubblico per via telematica, gli elenchi dei propri consulenti indicando l'oggetto, la durata e il compenso dell'incarico nonché l'attestazione dell'avvenuta verifica dell'insussistenza di situazioni, anche potenziali, di conflitto di interessi. Le informazioni relative a consulenze e incarichi comunicate dalle amministrazioni al Dipartimento della funzione pubblica, nonché le informazioni pubblicate dalle stesse nelle proprie banche dati accessibili al pubblico per via telematica ai sensi del presente articolo, sono trasmesse e pubblicate in tabelle riassuntive rese liberamente scaricabili in un formato digitale standard aperto che consenta di analizzare e rielaborare, anche a fini statistici, i dati informatici. Entro il 31 dicembre di ciascun anno il Dipartimento della funzione pubblica trasmette alla Corte dei conti l'elenco delle amministrazioni che hanno omesso di trasmettere e pubblicare, in tutto o in parte, le informazioni di cui al terzo periodo del presente comma in formato digitale standard aperto. Entro il 31 dicembre di ciascun anno il Dipartimento della funzione pubblica trasmette alla Corte dei conti l'elenco delle amministrazioni che hanno omesso di effettuare la comunicazione, avente ad oggetto l'elenco dei collaboratori esterni e dei soggetti cui sono stati affidati incarichi di consulenza. </w:t>
      </w:r>
    </w:p>
    <w:p w14:paraId="745714BE"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15. Le amministrazioni che omettono gli adempimenti di cui ai commi da 11 a 14 non possono conferire nuovi incarichi fino a quando non adempiono. I soggetti di cui al comma 9 che omettono le comunicazioni di cui al comma 11 incorrono nella sanzione di cui allo stesso comma 9. </w:t>
      </w:r>
    </w:p>
    <w:p w14:paraId="4BC3A433"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16. Il Dipartimento della funzione pubblica, entro il 31 dicembre di ciascun anno, riferisce al Parlamento sui dati raccolti, adotta le relative misure di pubblicità e trasparenza e formula proposte per il contenimento della spesa per gli incarichi e per la razionalizzazione dei criteri di attribuzione degli incarichi stessi. </w:t>
      </w:r>
    </w:p>
    <w:p w14:paraId="2B7F1703"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16-bis. La Presidenza del Consiglio dei Ministri - Dipartimento della funzione pubblica può disporre verifiche del rispetto delle disposizioni del presente articolo e dell'articolo 1, commi 56 e seguenti, della legge 23 dicembre 1996, n. 662, per il tramite dell'Ispettorato per la funzione pubblica. A tale fine quest'ultimo opera d'intesa con i Servizi ispettivi di finanza pubblica del Dipartimento della Ragioneria generale dello Stato. </w:t>
      </w:r>
    </w:p>
    <w:p w14:paraId="45A2A9CD"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16-ter. 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w:t>
      </w:r>
    </w:p>
  </w:endnote>
  <w:endnote w:id="58">
    <w:p w14:paraId="0C5903E7"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D.Lgs. 165/2001. </w:t>
      </w:r>
      <w:r w:rsidRPr="00046EA0">
        <w:rPr>
          <w:rStyle w:val="dentro"/>
          <w:sz w:val="12"/>
          <w:szCs w:val="12"/>
        </w:rPr>
        <w:t>Capo III - Uffici, piante organiche, mobilità e accessi</w:t>
      </w:r>
    </w:p>
    <w:p w14:paraId="4DF77402" w14:textId="77777777" w:rsidR="00AE3019" w:rsidRPr="00046EA0" w:rsidRDefault="00AE3019" w:rsidP="00E12EE9">
      <w:pPr>
        <w:pStyle w:val="NormaleWeb"/>
        <w:widowControl w:val="0"/>
        <w:spacing w:before="0" w:beforeAutospacing="0" w:after="0" w:afterAutospacing="0"/>
        <w:jc w:val="both"/>
        <w:rPr>
          <w:sz w:val="12"/>
          <w:szCs w:val="12"/>
        </w:rPr>
      </w:pPr>
      <w:r w:rsidRPr="00046EA0">
        <w:rPr>
          <w:sz w:val="12"/>
          <w:szCs w:val="12"/>
        </w:rPr>
        <w:t xml:space="preserve"> Art. 35-bis. - </w:t>
      </w:r>
      <w:r w:rsidRPr="00046EA0">
        <w:rPr>
          <w:rStyle w:val="Enfasigrassetto"/>
          <w:b w:val="0"/>
          <w:iCs/>
          <w:sz w:val="12"/>
          <w:szCs w:val="12"/>
        </w:rPr>
        <w:t xml:space="preserve">(Prevenzione del fenomeno della corruzione nella formazione di commissioni e nelle assegnazioni agli uffici) </w:t>
      </w:r>
    </w:p>
    <w:p w14:paraId="292A4852"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Fonts w:ascii="Times New Roman" w:hAnsi="Times New Roman" w:cs="Times New Roman"/>
          <w:sz w:val="12"/>
          <w:szCs w:val="12"/>
        </w:rPr>
        <w:t xml:space="preserve"> </w:t>
      </w:r>
      <w:r w:rsidRPr="00046EA0">
        <w:rPr>
          <w:rStyle w:val="Enfasigrassetto"/>
          <w:rFonts w:ascii="Times New Roman" w:hAnsi="Times New Roman" w:cs="Times New Roman"/>
          <w:b w:val="0"/>
          <w:iCs/>
          <w:sz w:val="12"/>
          <w:szCs w:val="12"/>
        </w:rPr>
        <w:t xml:space="preserve">1. Coloro che sono stati condannati, anche con sentenza non passata in giudicato, per i reati previsti nel capo I del titolo II del libro secondo del codice penale: </w:t>
      </w:r>
    </w:p>
    <w:p w14:paraId="5625323A"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Style w:val="Enfasigrassetto"/>
          <w:rFonts w:ascii="Times New Roman" w:hAnsi="Times New Roman" w:cs="Times New Roman"/>
          <w:b w:val="0"/>
          <w:iCs/>
          <w:sz w:val="12"/>
          <w:szCs w:val="12"/>
        </w:rPr>
        <w:t xml:space="preserve"> a) non possono fare parte, anche con compiti di segreteria, di commissioni per l'accesso o la selezione a pubblici impieghi; </w:t>
      </w:r>
    </w:p>
    <w:p w14:paraId="6C04BD00"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Style w:val="Enfasigrassetto"/>
          <w:rFonts w:ascii="Times New Roman" w:hAnsi="Times New Roman" w:cs="Times New Roman"/>
          <w:b w:val="0"/>
          <w:iCs/>
          <w:sz w:val="12"/>
          <w:szCs w:val="12"/>
        </w:rPr>
        <w:t xml:space="preserve"> b) non possono essere assegnati, anche con funzioni direttive, agli uffici preposti alla gestione delle risorse finanziarie, all'acquisizione di beni, servizi e forniture, nonché alla concessione o all'erogazione di sovvenzioni, contributi, sussidi, ausili finanziari o attribuzioni di vantaggi economici a soggetti pubblici e privati; </w:t>
      </w:r>
    </w:p>
    <w:p w14:paraId="0CD3925A"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Style w:val="Enfasigrassetto"/>
          <w:rFonts w:ascii="Times New Roman" w:eastAsia="Calibri" w:hAnsi="Times New Roman" w:cs="Times New Roman"/>
          <w:b w:val="0"/>
          <w:iCs/>
          <w:sz w:val="12"/>
          <w:szCs w:val="12"/>
          <w:lang w:eastAsia="en-US"/>
        </w:rPr>
      </w:pPr>
      <w:r w:rsidRPr="00046EA0">
        <w:rPr>
          <w:rStyle w:val="Enfasigrassetto"/>
          <w:rFonts w:ascii="Times New Roman" w:hAnsi="Times New Roman" w:cs="Times New Roman"/>
          <w:b w:val="0"/>
          <w:iCs/>
          <w:sz w:val="12"/>
          <w:szCs w:val="12"/>
        </w:rPr>
        <w:t xml:space="preserve"> c) non possono fare parte delle commissioni per la scelta del contraente per l'affidamento di lavori, forniture e servizi, per la concessione o l'erogazione di sovvenzioni, contributi, sussidi, ausili finanziari, nonché per l'attribuzione di vantaggi economici di qualunque genere. </w:t>
      </w:r>
    </w:p>
    <w:p w14:paraId="2BA24929"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Enfasigrassetto"/>
          <w:rFonts w:ascii="Times New Roman" w:hAnsi="Times New Roman"/>
          <w:b w:val="0"/>
          <w:iCs/>
          <w:sz w:val="12"/>
          <w:szCs w:val="12"/>
        </w:rPr>
        <w:t xml:space="preserve"> 2. La disposizione prevista al comma 1 integra le leggi e regolamenti che disciplinano la formazione di commissioni e la nomina dei relativi segretari</w:t>
      </w:r>
      <w:r w:rsidRPr="00046EA0">
        <w:rPr>
          <w:rFonts w:ascii="Times New Roman" w:hAnsi="Times New Roman"/>
          <w:sz w:val="12"/>
          <w:szCs w:val="12"/>
        </w:rPr>
        <w:t>.</w:t>
      </w:r>
    </w:p>
  </w:endnote>
  <w:endnote w:id="59">
    <w:p w14:paraId="0BDD61CB"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Cfr. nota </w:t>
      </w:r>
      <w:r>
        <w:rPr>
          <w:rFonts w:ascii="Times New Roman" w:hAnsi="Times New Roman"/>
          <w:sz w:val="12"/>
          <w:szCs w:val="12"/>
        </w:rPr>
        <w:t>precedente</w:t>
      </w:r>
    </w:p>
  </w:endnote>
  <w:endnote w:id="60">
    <w:p w14:paraId="46FD6F8E"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 </w:t>
      </w:r>
      <w:r w:rsidRPr="00046EA0">
        <w:rPr>
          <w:rFonts w:ascii="Times New Roman" w:eastAsia="Times New Roman" w:hAnsi="Times New Roman"/>
          <w:sz w:val="12"/>
          <w:szCs w:val="12"/>
          <w:lang w:eastAsia="it-IT"/>
        </w:rPr>
        <w:t>SEZIONE V - NORME IN MATERIA DI DICHIARAZIONI SOSTITUTIVE</w:t>
      </w:r>
    </w:p>
    <w:p w14:paraId="03AD6704"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Art. 46 - Dichiarazioni sostitutive di certificazioni </w:t>
      </w:r>
    </w:p>
    <w:p w14:paraId="2E55C26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Sono comprovati con dichiarazioni, anche contestuali all'istanza, sottoscritte dall'interessato e prodotte in sostituzione delle normali certificazioni i seguenti stati, qualità personali e fatti: </w:t>
      </w:r>
    </w:p>
    <w:p w14:paraId="2B106507"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 data e il luogo di nascita; </w:t>
      </w:r>
    </w:p>
    <w:p w14:paraId="2F00956F"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 residenza; </w:t>
      </w:r>
    </w:p>
    <w:p w14:paraId="44719FA3"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 cittadinanza; </w:t>
      </w:r>
    </w:p>
    <w:p w14:paraId="560601A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 godimento dei diritti civili e politici; </w:t>
      </w:r>
    </w:p>
    <w:p w14:paraId="3F7A9B3E"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e) stato di celibe, coniugato, vedovo o stato libero; </w:t>
      </w:r>
    </w:p>
    <w:p w14:paraId="5DA2741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f) stato di famiglia; </w:t>
      </w:r>
    </w:p>
    <w:p w14:paraId="3C4D472A"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g) esistenza in vita; </w:t>
      </w:r>
    </w:p>
    <w:p w14:paraId="7BAFECC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h) nascita del figlio, decesso del coniuge, dell'ascendente o discendente; </w:t>
      </w:r>
    </w:p>
    <w:p w14:paraId="271C4672"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i) iscrizione in albi, in elenchi tenuti da pubbliche amministrazioni; </w:t>
      </w:r>
    </w:p>
    <w:p w14:paraId="02C75278"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l) appartenenza a ordini professionali; </w:t>
      </w:r>
    </w:p>
    <w:p w14:paraId="33B36AE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m) titolo di studio, esami sostenuti; </w:t>
      </w:r>
    </w:p>
    <w:p w14:paraId="051931A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n) qualifica professionale posseduta, titolo di specializzazione, di abilitazione, di formazione, di aggiornamento e di qualificazione tecnica; </w:t>
      </w:r>
    </w:p>
    <w:p w14:paraId="3292CFA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o) situazione reddituale o economica anche ai fini della concessione dei benefici di qualsiasi tipo previsti da leggi speciali; </w:t>
      </w:r>
    </w:p>
    <w:p w14:paraId="4535EAE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p) assolvimento di specifici obblighi contributivi con l'indicazione dell'ammontare corrisposto; </w:t>
      </w:r>
    </w:p>
    <w:p w14:paraId="40826016"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q) possesso e numero del codice fiscale, della partita IVA e di qualsiasi dato presente nell'archivio dell'anagrafe tributaria; </w:t>
      </w:r>
    </w:p>
    <w:p w14:paraId="64AD0B9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r) stato di disoccupazione; </w:t>
      </w:r>
    </w:p>
    <w:p w14:paraId="5DA2E417"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s) qualità di pensionato e categoria di pensione; </w:t>
      </w:r>
    </w:p>
    <w:p w14:paraId="4D153BB1"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t) qualità di studente; </w:t>
      </w:r>
    </w:p>
    <w:p w14:paraId="429FE060"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u) qualità di legale rappresentante di persone fisiche o giuridiche, di tutore, di curatore e simili; </w:t>
      </w:r>
    </w:p>
    <w:p w14:paraId="0A6F8C02"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v) iscrizione presso associazioni o formazioni sociali di qualsiasi tipo; </w:t>
      </w:r>
    </w:p>
    <w:p w14:paraId="745AE6F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z) tutte le situazioni relative all'adempimento degli obblighi militari, ivi comprese quelle attestate nel foglio matricolare dello stato di servizio; </w:t>
      </w:r>
    </w:p>
    <w:p w14:paraId="5E5C75F0"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aa) di non aver riportato condanne penali e di non essere destinatario di provvedimenti che riguardano l'applicazione di misure di sicurezza e di misure di prevenzione, di decisioni civili e di provvedimenti amministrativi iscritti nel casellario giudiziale ai sensi della vigente normativa; </w:t>
      </w:r>
    </w:p>
    <w:p w14:paraId="1C25661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 di non essere a conoscenza di essere sottoposto a procedimenti penali; </w:t>
      </w:r>
    </w:p>
    <w:p w14:paraId="61CB058E"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bb-bis) di non essere l'ente destinatario di provvedimenti giudiziari che applicano le sanzioni amministrative di cui al decreto legislativo 8 giugno 2001, n. 231; </w:t>
      </w:r>
    </w:p>
    <w:p w14:paraId="44A0FA11"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cc) qualità di vivenza a carico; </w:t>
      </w:r>
    </w:p>
    <w:p w14:paraId="6EA64413"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dd) tutti i dati a diretta conoscenza dell'interessato contenuti nei registri dello stato civile; </w:t>
      </w:r>
    </w:p>
    <w:p w14:paraId="7B8E8E4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eastAsia="Times New Roman" w:hAnsi="Times New Roman"/>
          <w:sz w:val="12"/>
          <w:szCs w:val="12"/>
          <w:lang w:eastAsia="it-IT"/>
        </w:rPr>
        <w:t xml:space="preserve"> ee) di non trovarsi in stato di liquidazione o di fallimento e di non aver presentato domanda di concordato. </w:t>
      </w:r>
    </w:p>
  </w:endnote>
  <w:endnote w:id="61">
    <w:p w14:paraId="26F6147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w:t>
      </w:r>
      <w:r w:rsidRPr="00046EA0">
        <w:rPr>
          <w:rFonts w:ascii="Times New Roman" w:eastAsia="Times New Roman" w:hAnsi="Times New Roman"/>
          <w:sz w:val="12"/>
          <w:szCs w:val="12"/>
          <w:lang w:eastAsia="it-IT"/>
        </w:rPr>
        <w:t xml:space="preserve"> SEZIONE V - NORME IN MATERIA DI DICHIARAZIONI SOSTITUTIVE</w:t>
      </w:r>
    </w:p>
    <w:p w14:paraId="497CC445"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hAnsi="Times New Roman"/>
          <w:sz w:val="12"/>
          <w:szCs w:val="12"/>
        </w:rPr>
        <w:t xml:space="preserve"> </w:t>
      </w:r>
      <w:r w:rsidRPr="00046EA0">
        <w:rPr>
          <w:rFonts w:ascii="Times New Roman" w:eastAsia="Times New Roman" w:hAnsi="Times New Roman"/>
          <w:sz w:val="12"/>
          <w:szCs w:val="12"/>
          <w:lang w:eastAsia="it-IT"/>
        </w:rPr>
        <w:t>Art. 47 Dichiarazioni sostitutive dell'atto di notorietà</w:t>
      </w:r>
    </w:p>
    <w:p w14:paraId="52826222"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L'atto di notorietà concernente stati, qualità personali o fatti che siano a diretta conoscenza dell'interessato è sostituito da dichiarazione resa e sottoscritta dal medesimo con la osservanza delle modalità di cui all'articolo 38. </w:t>
      </w:r>
    </w:p>
    <w:p w14:paraId="6EFB8EB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2. La dichiarazione resa nell'interesse proprio del dichiarante può riguardare anche stati, qualità personali e fatti relativi ad altri soggetti di cui egli abbia diretta conoscenza. </w:t>
      </w:r>
    </w:p>
    <w:p w14:paraId="439FC113"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3. Fatte salve le eccezioni espressamente previste per legge, nei rapporti con la pubblica amministrazione e con i concessionari di pubblici servizi, tutti gli stati, le qualità personali e i fatti non espressamente indicati nell'articolo 46 sono comprovati dall'interessato mediante la dichiarazione sostitutiva di atto di notorietà. </w:t>
      </w:r>
    </w:p>
    <w:p w14:paraId="62BEDCA1"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4. Salvo il caso in cui la legge preveda espressamente che la denuncia all’Autorità di Polizia Giudiziaria è presupposto</w:t>
      </w:r>
    </w:p>
    <w:p w14:paraId="4F22E773"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eastAsia="Times New Roman" w:hAnsi="Times New Roman"/>
          <w:sz w:val="12"/>
          <w:szCs w:val="12"/>
          <w:lang w:eastAsia="it-IT"/>
        </w:rPr>
        <w:t>necessario per attivare il procedimento amministrativo di rilascio del duplicato di documenti di riconoscimento o comunque attestanti stati e qualità personali dell'interessato, lo smarrimento dei documenti medesimi è comprovato da chi ne richiede il duplicato mediante dichiarazione sostitutiva.</w:t>
      </w:r>
    </w:p>
  </w:endnote>
  <w:endnote w:id="62">
    <w:p w14:paraId="09161440"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 </w:t>
      </w:r>
      <w:r w:rsidRPr="00046EA0">
        <w:rPr>
          <w:rFonts w:ascii="Times New Roman" w:eastAsia="Times New Roman" w:hAnsi="Times New Roman"/>
          <w:sz w:val="12"/>
          <w:szCs w:val="12"/>
          <w:lang w:eastAsia="it-IT"/>
        </w:rPr>
        <w:t>SEZIONE V - NORME IN MATERIA DI DICHIARAZIONI SOSTITUTIVE</w:t>
      </w:r>
    </w:p>
    <w:p w14:paraId="2F139D30"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Art. 46 - Dichiarazioni sostitutive di certificazioni </w:t>
      </w:r>
    </w:p>
    <w:p w14:paraId="1E820E4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Sono comprovati con dichiarazioni, anche contestuali all'istanza, sottoscritte dall'interessato e prodotte in sostituzione delle normali certificazioni i seguenti stati, qualità personali e fatti: </w:t>
      </w:r>
    </w:p>
    <w:p w14:paraId="7E6AC3CF"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 data e il luogo di nascita; </w:t>
      </w:r>
    </w:p>
    <w:p w14:paraId="60E6CC5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 residenza; </w:t>
      </w:r>
    </w:p>
    <w:p w14:paraId="113B08D8"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 cittadinanza; </w:t>
      </w:r>
    </w:p>
    <w:p w14:paraId="20CF0004"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 godimento dei diritti civili e politici; </w:t>
      </w:r>
    </w:p>
    <w:p w14:paraId="4040601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e) stato di celibe, coniugato, vedovo o stato libero; </w:t>
      </w:r>
    </w:p>
    <w:p w14:paraId="00B3F708"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f) stato di famiglia; </w:t>
      </w:r>
    </w:p>
    <w:p w14:paraId="13188DC1"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g) esistenza in vita; </w:t>
      </w:r>
    </w:p>
    <w:p w14:paraId="3002E02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h) nascita del figlio, decesso del coniuge, dell'ascendente o discendente; </w:t>
      </w:r>
    </w:p>
    <w:p w14:paraId="795E48F7"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i) iscrizione in albi, in elenchi tenuti da pubbliche amministrazioni; </w:t>
      </w:r>
    </w:p>
    <w:p w14:paraId="3122198A"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l) appartenenza a ordini professionali; </w:t>
      </w:r>
    </w:p>
    <w:p w14:paraId="043A914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m) titolo di studio, esami sostenuti; </w:t>
      </w:r>
    </w:p>
    <w:p w14:paraId="55E4624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n) qualifica professionale posseduta, titolo di specializzazione, di abilitazione, di formazione, di aggiornamento e di qualificazione tecnica; </w:t>
      </w:r>
    </w:p>
    <w:p w14:paraId="359C1A6F"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o) situazione reddituale o economica anche ai fini della concessione dei benefici di qualsiasi tipo previsti da leggi speciali; </w:t>
      </w:r>
    </w:p>
    <w:p w14:paraId="40AEF4D5"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p) assolvimento di specifici obblighi contributivi con l'indicazione dell'ammontare corrisposto; </w:t>
      </w:r>
    </w:p>
    <w:p w14:paraId="12F3676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q) possesso e numero del codice fiscale, della partita IVA e di qualsiasi dato presente nell'archivio dell'anagrafe tributaria; </w:t>
      </w:r>
    </w:p>
    <w:p w14:paraId="1ED35E1F"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r) stato di disoccupazione; </w:t>
      </w:r>
    </w:p>
    <w:p w14:paraId="2DCE9478"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s) qualità di pensionato e categoria di pensione; </w:t>
      </w:r>
    </w:p>
    <w:p w14:paraId="692284D3"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t) qualità di studente; </w:t>
      </w:r>
    </w:p>
    <w:p w14:paraId="6C4E8C8F"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u) qualità di legale rappresentante di persone fisiche o giuridiche, di tutore, di curatore e simili; </w:t>
      </w:r>
    </w:p>
    <w:p w14:paraId="1C73381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v) iscrizione presso associazioni o formazioni sociali di qualsiasi tipo; </w:t>
      </w:r>
    </w:p>
    <w:p w14:paraId="0B3BCB2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z) tutte le situazioni relative all'adempimento degli obblighi militari, ivi comprese quelle attestate nel foglio matricolare dello stato di servizio; </w:t>
      </w:r>
    </w:p>
    <w:p w14:paraId="0FEDA097"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aa) di non aver riportato condanne penali e di non essere destinatario di provvedimenti che riguardano l'applicazione di misure di sicurezza e di misure di prevenzione, di decisioni civili e di provvedimenti amministrativi iscritti nel casellario giudiziale ai sensi della vigente normativa; </w:t>
      </w:r>
    </w:p>
    <w:p w14:paraId="2A367947"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 di non essere a conoscenza di essere sottoposto a procedimenti penali; </w:t>
      </w:r>
    </w:p>
    <w:p w14:paraId="06D76A05"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bb-bis) di non essere l'ente destinatario di provvedimenti giudiziari che applicano le sanzioni amministrative di cui al decreto legislativo 8 giugno 2001, n. 231; </w:t>
      </w:r>
    </w:p>
    <w:p w14:paraId="110AF166"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cc) qualità di vivenza a carico; </w:t>
      </w:r>
    </w:p>
    <w:p w14:paraId="6BDB96A4"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dd) tutti i dati a diretta conoscenza dell'interessato contenuti nei registri dello stato civile; </w:t>
      </w:r>
    </w:p>
    <w:p w14:paraId="622F017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eastAsia="Times New Roman" w:hAnsi="Times New Roman"/>
          <w:sz w:val="12"/>
          <w:szCs w:val="12"/>
          <w:lang w:eastAsia="it-IT"/>
        </w:rPr>
        <w:t xml:space="preserve"> ee) di non trovarsi in stato di liquidazione o di fallimento e di non aver presentato domanda di concordato. </w:t>
      </w:r>
    </w:p>
  </w:endnote>
  <w:endnote w:id="63">
    <w:p w14:paraId="40575399"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D.P.R. 445/2000.</w:t>
      </w:r>
      <w:r w:rsidRPr="00046EA0">
        <w:rPr>
          <w:rFonts w:ascii="Times New Roman" w:eastAsia="Times New Roman" w:hAnsi="Times New Roman"/>
          <w:sz w:val="12"/>
          <w:szCs w:val="12"/>
          <w:lang w:eastAsia="it-IT"/>
        </w:rPr>
        <w:t xml:space="preserve"> SEZIONE V - NORME IN MATERIA DI DICHIARAZIONI SOSTITUTIVE</w:t>
      </w:r>
    </w:p>
    <w:p w14:paraId="712EDE9C"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hAnsi="Times New Roman"/>
          <w:sz w:val="12"/>
          <w:szCs w:val="12"/>
        </w:rPr>
        <w:t xml:space="preserve"> </w:t>
      </w:r>
      <w:r w:rsidRPr="00046EA0">
        <w:rPr>
          <w:rFonts w:ascii="Times New Roman" w:eastAsia="Times New Roman" w:hAnsi="Times New Roman"/>
          <w:sz w:val="12"/>
          <w:szCs w:val="12"/>
          <w:lang w:eastAsia="it-IT"/>
        </w:rPr>
        <w:t>Art. 47 Dichiarazioni sostitutive dell'atto di notorietà</w:t>
      </w:r>
    </w:p>
    <w:p w14:paraId="2E1EF232"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L'atto di notorietà concernente stati, qualità personali o fatti che siano a diretta conoscenza dell'interessato è sostituito da dichiarazione resa e sottoscritta dal medesimo con la osservanza delle modalità di cui all'articolo 38. </w:t>
      </w:r>
    </w:p>
    <w:p w14:paraId="743E34D0"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2. La dichiarazione resa nell'interesse proprio del dichiarante può riguardare anche stati, qualità personali e fatti relativi ad altri soggetti di cui egli abbia diretta conoscenza. </w:t>
      </w:r>
    </w:p>
    <w:p w14:paraId="117D08CD"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3. Fatte salve le eccezioni espressamente previste per legge, nei rapporti con la pubblica amministrazione e con i concessionari di pubblici servizi, tutti gli stati, le qualità personali e i fatti non espressamente indicati nell'articolo 46 sono comprovati dall'interessato mediante la dichiarazione sostitutiva di atto di notorietà. </w:t>
      </w:r>
    </w:p>
    <w:p w14:paraId="04C7500E"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4. Salvo il caso in cui la legge preveda espressamente che la denuncia all’Autorità di Polizia Giudiziaria è presupposto</w:t>
      </w:r>
    </w:p>
    <w:p w14:paraId="6D56E9AC"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eastAsia="Times New Roman" w:hAnsi="Times New Roman"/>
          <w:sz w:val="12"/>
          <w:szCs w:val="12"/>
          <w:lang w:eastAsia="it-IT"/>
        </w:rPr>
        <w:t>necessario per attivare il procedimento amministrativo di rilascio del duplicato di documenti di riconoscimento o comunque attestanti stati e qualità personali dell'interessato, lo smarrimento dei documenti medesimi è comprovato da chi ne richiede il duplicato mediante dichiarazione sostitutiva.</w:t>
      </w:r>
    </w:p>
  </w:endnote>
  <w:endnote w:id="64">
    <w:p w14:paraId="3A4F5B5A"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Si veda l’Aggiornamento del P.N.A., adottato con determinazione A.N.A.C. n. 12/2015, che dedica particolare spazio ai processi di affidamento.</w:t>
      </w:r>
    </w:p>
  </w:endnote>
  <w:endnote w:id="65">
    <w:p w14:paraId="11706CE1"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Le specifiche misure per la gestione del rischio di ciascun sottoprocesso e loro fasi sono descritte nell’allegata Tabella a ciò dedicata.</w:t>
      </w:r>
    </w:p>
  </w:endnote>
  <w:endnote w:id="66">
    <w:p w14:paraId="210DBDC5"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67">
    <w:p w14:paraId="2735F3BA"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68">
    <w:p w14:paraId="5BD3F325"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69">
    <w:p w14:paraId="6D23C4B4"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Idem nota precedente.</w:t>
      </w:r>
    </w:p>
  </w:endnote>
  <w:endnote w:id="70">
    <w:p w14:paraId="103E2DAC" w14:textId="77777777" w:rsidR="00AE3019" w:rsidRPr="00046EA0" w:rsidRDefault="00AE3019" w:rsidP="00E12EE9">
      <w:pPr>
        <w:pStyle w:val="NormaleWeb"/>
        <w:widowControl w:val="0"/>
        <w:spacing w:before="0" w:beforeAutospacing="0" w:after="0" w:afterAutospacing="0"/>
        <w:jc w:val="both"/>
        <w:rPr>
          <w:sz w:val="12"/>
          <w:szCs w:val="12"/>
        </w:rPr>
      </w:pPr>
      <w:r w:rsidRPr="00046EA0">
        <w:rPr>
          <w:rStyle w:val="Rimandonotadichiusura"/>
          <w:sz w:val="12"/>
          <w:szCs w:val="12"/>
        </w:rPr>
        <w:endnoteRef/>
      </w:r>
      <w:r w:rsidRPr="00046EA0">
        <w:rPr>
          <w:sz w:val="12"/>
          <w:szCs w:val="12"/>
        </w:rPr>
        <w:t xml:space="preserve"> Decreto Legge 112/2008 convertito con Legge 133/2008. </w:t>
      </w:r>
      <w:r w:rsidRPr="00046EA0">
        <w:rPr>
          <w:rStyle w:val="dentro"/>
          <w:sz w:val="12"/>
          <w:szCs w:val="12"/>
        </w:rPr>
        <w:t>Capo VI - Liberalizzazioni e deregolazione</w:t>
      </w:r>
    </w:p>
    <w:p w14:paraId="3C6AD1C3"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Art. 18 - Reclutamento del personale delle società pubbliche </w:t>
      </w:r>
    </w:p>
    <w:p w14:paraId="68FDFB1B"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1. A decorrere dal sessantesimo giorno successivo alla data di entrata in vigore della legge di conversione del presente decreto-legge, le società che gestiscono servizi pubblici locali a totale partecipazione pubblica adottano, con propri provvedimenti, criteri e modalità per il reclutamento del personale e per il conferimento degli incarichi nel rispetto dei principi di cui al comma 3 dell'articolo 35 del decreto legislativo 30 marzo 2001, n. 165. </w:t>
      </w:r>
    </w:p>
    <w:p w14:paraId="72972FC5"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 Le altre società a partecipazione pubblica totale o di controllo adottano, con propri provvedimenti, criteri e modalità per il reclutamento del personale e per il conferimento degli incarichi nel rispetto dei principi, anche di derivazione comunitaria, di trasparenza, pubblicità e imparzialità. </w:t>
      </w:r>
    </w:p>
    <w:p w14:paraId="2D108729"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2-bis. Le aziende speciali, le istituzioni e le società a partecipazione pubblica locale totale o di controllo si attengono al principio di riduzione dei costi del personale, attraverso il contenimento degli oneri contrattuali e delle assunzioni di personale. A tal fine l'ente controllante, con proprio atto di indirizzo, tenuto anche conto delle disposizioni che stabiliscono, a suo carico, divieti o limitazioni alle assunzioni di personale, definisce, per ciascuno dei soggetti di cui al precedente periodo, specifici criteri e modalità di attuazione del principio di contenimento dei costi del personale, tenendo conto del settore in cui ciascun soggetto opera. Le aziende speciali, le istituzioni e le società a partecipazione pubblica locale totale o di controllo adottano tali indirizzi con propri provvedimenti e, nel caso del contenimento degli oneri contrattuali, gli stessi vengono recepiti in sede di contrattazione di secondo livello. Le aziende speciali e le istituzioni che gestiscono servizi socio-assistenziali ed educativi, scolastici e per l'infanzia, culturali e alla persona (ex IPAB) e le farmacie sono escluse dai limiti di cui al precedente periodo, fermo restando l'obbligo di mantenere un livello dei costi del personale coerente rispetto alla quantità di servizi erogati. Per le aziende speciali cosiddette multiservizi le disposizioni di cui al periodo precedente si applicano qualora l'incidenza del fatturato dei servizi esclusi risulti superiore al 50 per cento del totale del valore della produzione. </w:t>
      </w:r>
    </w:p>
    <w:p w14:paraId="6E1E0DA1"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3. Le disposizioni di cui al presente articolo non si applicano alle società quotate su mercati regolamentati.</w:t>
      </w:r>
    </w:p>
  </w:endnote>
  <w:endnote w:id="71">
    <w:p w14:paraId="11FDBC3F"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 1, comma 16. Fermo restando quanto stabilito nell'articolo 53 del decreto legislativo 30 marzo 2001, n. 165, come da ultimo modificato dal comma 42 del presente articolo, nell'articolo 54 del codice dell'amministrazione digitale, di cui al decreto legislativo 7 marzo 2005, n. 82, e successive modificazioni, nell'articolo 21 della legge 18 giugno 2009, n. 69, e successive modificazioni, e nell'articolo 11 del decreto legislativo 27 ottobre 2009, n. 150, le pubbliche amministrazioni assicurano i livelli essenziali di cui al comma 15 del presente articolo con particolare riferimento ai procedimenti di:</w:t>
      </w:r>
    </w:p>
    <w:p w14:paraId="4E2B7FF2"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d) concorsi e prove selettive per l'assunzione del personale e progressioni di carriera di cui all'articolo 24 del citato decreto legislativo n.150 del 2009.</w:t>
      </w:r>
    </w:p>
  </w:endnote>
  <w:endnote w:id="72">
    <w:p w14:paraId="75D8568E" w14:textId="7C73AC35"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w:t>
      </w:r>
      <w:r w:rsidRPr="00046EA0">
        <w:rPr>
          <w:rFonts w:ascii="Times New Roman" w:eastAsia="Times New Roman" w:hAnsi="Times New Roman"/>
          <w:sz w:val="12"/>
          <w:szCs w:val="12"/>
          <w:lang w:eastAsia="it-IT"/>
        </w:rPr>
        <w:t xml:space="preserve">Capo II - Obblighi di pubblicazione concernenti l'organizzazione e l’attività delle pubbliche amministrazioni </w:t>
      </w:r>
    </w:p>
    <w:p w14:paraId="077D7828"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Art. 19 Bandi di concorso </w:t>
      </w:r>
    </w:p>
    <w:p w14:paraId="73773FAA" w14:textId="77777777" w:rsidR="00AE3019" w:rsidRPr="00046EA0" w:rsidRDefault="00AE3019" w:rsidP="00E12EE9">
      <w:pPr>
        <w:widowControl w:val="0"/>
        <w:spacing w:after="0" w:line="240" w:lineRule="auto"/>
        <w:jc w:val="both"/>
        <w:rPr>
          <w:rFonts w:ascii="Times New Roman" w:eastAsia="Times New Roman" w:hAnsi="Times New Roman"/>
          <w:sz w:val="12"/>
          <w:szCs w:val="12"/>
          <w:lang w:eastAsia="it-IT"/>
        </w:rPr>
      </w:pPr>
      <w:r w:rsidRPr="00046EA0">
        <w:rPr>
          <w:rFonts w:ascii="Times New Roman" w:eastAsia="Times New Roman" w:hAnsi="Times New Roman"/>
          <w:sz w:val="12"/>
          <w:szCs w:val="12"/>
          <w:lang w:eastAsia="it-IT"/>
        </w:rPr>
        <w:t xml:space="preserve"> 1. Fermi restando gli altri obblighi di pubblicità legale, le pubbliche amministrazioni pubblicano i bandi di concorso per il reclutamento, a qualsiasi titolo, di personale presso l'amministrazione</w:t>
      </w:r>
      <w:r w:rsidRPr="00046EA0">
        <w:rPr>
          <w:rFonts w:ascii="Times New Roman" w:eastAsia="Times New Roman" w:hAnsi="Times New Roman"/>
          <w:b/>
          <w:bCs/>
          <w:i/>
          <w:iCs/>
          <w:sz w:val="12"/>
          <w:szCs w:val="12"/>
          <w:lang w:eastAsia="it-IT"/>
        </w:rPr>
        <w:t xml:space="preserve">, </w:t>
      </w:r>
      <w:r w:rsidRPr="00046EA0">
        <w:rPr>
          <w:rFonts w:ascii="Times New Roman" w:eastAsia="Times New Roman" w:hAnsi="Times New Roman"/>
          <w:bCs/>
          <w:iCs/>
          <w:sz w:val="12"/>
          <w:szCs w:val="12"/>
          <w:lang w:eastAsia="it-IT"/>
        </w:rPr>
        <w:t>nonché i criteri di valutazione della Commissione e le tracce delle prove scritte</w:t>
      </w:r>
      <w:r w:rsidRPr="00046EA0">
        <w:rPr>
          <w:rFonts w:ascii="Times New Roman" w:eastAsia="Times New Roman" w:hAnsi="Times New Roman"/>
          <w:sz w:val="12"/>
          <w:szCs w:val="12"/>
          <w:lang w:eastAsia="it-IT"/>
        </w:rPr>
        <w:t xml:space="preserve">. </w:t>
      </w:r>
    </w:p>
    <w:p w14:paraId="40D2523F"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eastAsia="Times New Roman" w:hAnsi="Times New Roman"/>
          <w:sz w:val="12"/>
          <w:szCs w:val="12"/>
          <w:lang w:eastAsia="it-IT"/>
        </w:rPr>
        <w:t xml:space="preserve"> 2. Le pubbliche amministrazioni pubblicano e tengono costantemente aggiornato l'elenco dei bandi in corso.</w:t>
      </w:r>
    </w:p>
  </w:endnote>
  <w:endnote w:id="73">
    <w:p w14:paraId="5FAA0D88"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Style w:val="Rimandonotadichiusura"/>
          <w:rFonts w:ascii="Times New Roman" w:hAnsi="Times New Roman" w:cs="Times New Roman"/>
          <w:sz w:val="12"/>
          <w:szCs w:val="12"/>
        </w:rPr>
        <w:endnoteRef/>
      </w:r>
      <w:r w:rsidRPr="00046EA0">
        <w:rPr>
          <w:rFonts w:ascii="Times New Roman" w:hAnsi="Times New Roman" w:cs="Times New Roman"/>
          <w:sz w:val="12"/>
          <w:szCs w:val="12"/>
        </w:rPr>
        <w:t xml:space="preserve"> Legge 190/2012, art. 1, comma 16. Fermo restando quanto stabilito nell'articolo 53 del decreto legislativo 30 marzo 2001, n. 165, come da ultimo modificato dal comma 42 del presente articolo, nell'articolo 54 del codice dell'amministrazione digitale, di cui al decreto legislativo 7 marzo 2005, n. 82, e successive modificazioni, nell'articolo 21 della legge 18 giugno 2009, n. 69, e successive modificazioni, e nell'articolo 11 del decreto legislativo 27 ottobre 2009, n. 150, le pubbliche amministrazioni assicurano i livelli essenziali di cui al comma 15 del presente articolo con particolare riferimento ai procedimenti di: </w:t>
      </w:r>
    </w:p>
    <w:p w14:paraId="19D601A9"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a) autorizzazione o concessione; </w:t>
      </w:r>
    </w:p>
    <w:p w14:paraId="420A6F69" w14:textId="77777777"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b) scelta del contraente per l'affidamento di lavori, forniture e servizi, anche con riferimento alla modalità di selezione prescelta ai sensi del codice dei contratti pubblici relativi a lavori, servizi e forniture, di cui al decreto legislativo 12 aprile 2006, n.163; </w:t>
      </w:r>
    </w:p>
    <w:p w14:paraId="2560DFC5" w14:textId="40E93D35" w:rsidR="00AE3019" w:rsidRPr="00046EA0" w:rsidRDefault="00AE3019" w:rsidP="00E12EE9">
      <w:pPr>
        <w:pStyle w:val="Preformattato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sz w:val="12"/>
          <w:szCs w:val="12"/>
        </w:rPr>
      </w:pPr>
      <w:r w:rsidRPr="00046EA0">
        <w:rPr>
          <w:rFonts w:ascii="Times New Roman" w:hAnsi="Times New Roman" w:cs="Times New Roman"/>
          <w:sz w:val="12"/>
          <w:szCs w:val="12"/>
        </w:rPr>
        <w:t xml:space="preserve"> c) concessione ed erogazione di sovvenzioni, contributi, sussidi, ausili finanziari, nonch</w:t>
      </w:r>
      <w:r>
        <w:rPr>
          <w:rFonts w:ascii="Times New Roman" w:hAnsi="Times New Roman" w:cs="Times New Roman"/>
          <w:sz w:val="12"/>
          <w:szCs w:val="12"/>
        </w:rPr>
        <w:t>é</w:t>
      </w:r>
      <w:r w:rsidRPr="00046EA0">
        <w:rPr>
          <w:rFonts w:ascii="Times New Roman" w:hAnsi="Times New Roman" w:cs="Times New Roman"/>
          <w:sz w:val="12"/>
          <w:szCs w:val="12"/>
        </w:rPr>
        <w:t xml:space="preserve"> attribuzione di vantaggi economici di qualunque genere a persone ed enti pubblici e privati; </w:t>
      </w:r>
    </w:p>
    <w:p w14:paraId="10754D21"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d) concorsi e prove selettive per l'assunzione del personale e progressioni di carriera di cui all'articolo 24 del citato decreto legislativo n.150 del 2009.</w:t>
      </w:r>
    </w:p>
  </w:endnote>
  <w:endnote w:id="74">
    <w:p w14:paraId="7F1CA62E"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w:t>
      </w:r>
      <w:r w:rsidRPr="00046EA0">
        <w:rPr>
          <w:rFonts w:ascii="Times New Roman" w:hAnsi="Times New Roman"/>
          <w:color w:val="000000"/>
          <w:sz w:val="12"/>
          <w:szCs w:val="12"/>
        </w:rPr>
        <w:t xml:space="preserve">Sull’argomento, si veda anche l’apposito Manuale redatto da </w:t>
      </w:r>
      <w:r w:rsidRPr="00046EA0">
        <w:rPr>
          <w:rFonts w:ascii="Times New Roman" w:hAnsi="Times New Roman"/>
          <w:i/>
          <w:color w:val="000000"/>
          <w:sz w:val="12"/>
          <w:szCs w:val="12"/>
        </w:rPr>
        <w:t>Transparency</w:t>
      </w:r>
      <w:r w:rsidRPr="00046EA0">
        <w:rPr>
          <w:rFonts w:ascii="Times New Roman" w:hAnsi="Times New Roman"/>
          <w:color w:val="000000"/>
          <w:sz w:val="12"/>
          <w:szCs w:val="12"/>
        </w:rPr>
        <w:t xml:space="preserve"> Italia, reperibile all’indirizzo: </w:t>
      </w:r>
      <w:r w:rsidRPr="00046EA0">
        <w:rPr>
          <w:rFonts w:ascii="Times New Roman" w:hAnsi="Times New Roman"/>
          <w:color w:val="00339A"/>
          <w:sz w:val="12"/>
          <w:szCs w:val="12"/>
        </w:rPr>
        <w:t>https://www.transparency.it/wp-content/uploads/2015/05/Patti_integrita_</w:t>
      </w:r>
      <w:r>
        <w:rPr>
          <w:rFonts w:ascii="Times New Roman" w:hAnsi="Times New Roman"/>
          <w:color w:val="00339A"/>
          <w:sz w:val="12"/>
          <w:szCs w:val="12"/>
        </w:rPr>
        <w:t xml:space="preserve"> </w:t>
      </w:r>
      <w:r w:rsidRPr="00046EA0">
        <w:rPr>
          <w:rFonts w:ascii="Times New Roman" w:hAnsi="Times New Roman"/>
          <w:color w:val="00339A"/>
          <w:sz w:val="12"/>
          <w:szCs w:val="12"/>
        </w:rPr>
        <w:t>manualetto.pdf</w:t>
      </w:r>
    </w:p>
  </w:endnote>
  <w:endnote w:id="75">
    <w:p w14:paraId="09201F9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2-bis (Ambito soggettivo di applicazione).</w:t>
      </w:r>
    </w:p>
    <w:p w14:paraId="30686E1F"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Ai fini del presente decreto, per "pubbliche amministrazioni" si intendono tutte le amministrazioni di cui all'articolo 1, comma 2, del decreto legislativo 30 marzo 2001, n. 165, e successive modificazioni, ivi comprese le autorità portuali, nonché le autorità amministrative indipendenti di garanzia, vigilanza e regolazione. </w:t>
      </w:r>
    </w:p>
    <w:p w14:paraId="315570AE"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La medesima disciplina prevista per le pubbliche amministrazioni di cui al comma 1 si applica anche, in quanto compatibile: </w:t>
      </w:r>
    </w:p>
    <w:p w14:paraId="35D09FC0"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agli enti pubblici economici e agli ordini professionali; </w:t>
      </w:r>
    </w:p>
    <w:p w14:paraId="1F8D48BE"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alle società in controllo pubblico come definite dal decreto legislativo emanato in attuazione dell'articolo 18 della legge 7 agosto 2015, n. 124. Sono escluse le società quotate come definite dallo stesso decreto legislativo emanato in attuazione dell'articolo 18 della legge 7 agosto 2015, n. 124; </w:t>
      </w:r>
    </w:p>
    <w:p w14:paraId="0A2C592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alle associazioni, alle fondazioni e agli enti di diritto privato comunque denominati, anche privi di personalità giuridica, con bilancio superiore a cinquecentomila euro, la cui attività sia finanziata in modo maggioritario per almeno due esercizi finanziari consecutivi nell'ultimo triennio da pubbliche amministrazioni e in cui la totalità dei titolari o dei componenti dell'organo d'amministrazione o di indirizzo sia designata da pubbliche amministrazioni. </w:t>
      </w:r>
    </w:p>
    <w:p w14:paraId="6264BC2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3. La medesima disciplina prevista per le pubbliche amministrazioni di cui al comma 1 si applica, in quanto compatibile, limitatamente ai dati e ai documenti inerenti all’attività di pubblico interesse disciplinata dal diritto nazionale o dell'Unione europea, alle società in partecipazione pubblica come definite dal decreto legislativo emanato in attuazione dell'articolo 18 della legge 7 agosto 2015, n. 124, e alle associazioni, alle fondazioni e agli enti di diritto privato, anche privi di personalità giuridica, con bilancio superiore a cinquecentomila euro, che esercitano funzioni amministrative, attività di produzione di beni e servizi a favore delle amministrazioni pubbliche o di gestione di servizi pubblici.</w:t>
      </w:r>
    </w:p>
  </w:endnote>
  <w:endnote w:id="76">
    <w:p w14:paraId="4D930A98"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Legge 124/2015. Art. 18 - Riordino della disciplina delle partecipazioni societarie delle amministrazioni pubbliche </w:t>
      </w:r>
    </w:p>
    <w:p w14:paraId="1D0A4EA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Il decreto legislativo per il riordino della disciplina in materia di partecipazioni societarie delle amministrazioni pubbliche è adottato al fine prioritario di assicurare la chiarezza della disciplina, la semplificazione normativa e la tutela e promozione della concorrenza, con particolare riferimento al superamento dei regimi transitori, nel rispetto dei seguenti principi e criteri direttivi, che si aggiungono a quelli di cui all'articolo 16: </w:t>
      </w:r>
    </w:p>
    <w:p w14:paraId="2F78F414"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distinzione tra tipi di società in relazione alle attività svolte, agli interessi pubblici di riferimento, alla misura e qualità della partecipazione e alla sua natura diretta o indiretta, alla modalità diretta o mediante procedura di evidenza pubblica dell'affidamento, nonché alla quotazione in borsa o all'emissione di strumenti finanziari quotati nei mercati regolamentati, e individuazione della relativa disciplina, anche in base al principio di proporzionalità delle deroghe rispetto alla disciplina privatistica, ivi compresa quella in materia di organizzazione e crisi d'impresa; </w:t>
      </w:r>
    </w:p>
    <w:p w14:paraId="4E3863B4"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ai fini della razionalizzazione e riduzione delle partecipazioni pubbliche secondo criteri di efficienza, efficacia ed economicità, ridefinizione della disciplina, delle condizioni e dei limiti per la costituzione di società, l'assunzione e il mantenimento di partecipazioni societarie da parte di amministrazioni pubbliche entro il perimetro dei compiti istituzionali o di ambiti strategici per la tutela di interessi pubblici rilevanti, quale la gestione di servizi di interesse economico generale; applicazione dei principi della presente lettera anche alle partecipazioni pubbliche già in essere; </w:t>
      </w:r>
    </w:p>
    <w:p w14:paraId="6455D25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precisa definizione del regime delle responsabilità degli amministratori delle amministrazioni partecipanti nonché dei dipendenti e degli organi di gestione e di controllo delle società partecipate; </w:t>
      </w:r>
    </w:p>
    <w:p w14:paraId="4B727D23"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d) definizione, al fine di assicurare la tutela degli interessi pubblici, la corretta gestione delle risorse e la salvaguardia dell'immagine del socio pubblico, dei requisiti e della garanzia di onorabilità dei candidati e dei componenti degli organi di amministrazione e controllo delle società, anche al fine di garantirne l'autonomia rispetto agli enti proprietari; </w:t>
      </w:r>
    </w:p>
    <w:p w14:paraId="02379065"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e) razionalizzazione dei criteri pubblicistici per gli acquisti e il reclutamento del personale, per i vincoli alle assunzioni e le politiche retributive, finalizzati al contenimento dei costi, tenendo conto delle distinzioni di cui alla lettera a) e introducendo criteri di valutazione oggettivi, rapportati al valore anche economico dei risultati; previsione che i risultati economici positivi o negativi ottenuti assumano rilievo ai fini del compenso economico variabile degli amministratori in considerazione dell'obiettivo di migliorare la qualità del servizio offerto ai cittadini e tenuto conto della congruità della tariffa e del costo del servizio; </w:t>
      </w:r>
    </w:p>
    <w:p w14:paraId="28AB1CA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f) promozione della trasparenza e dell'efficienza attraverso l'unificazione, la completezza e la massima intelligibilità dei dati economico-patrimoniali e dei principali indicatori di efficienza, nonché la loro pubblicità e accessibilità; g) attuazione dell'articolo 151, comma 8, del testo unico di cui al decreto legislativo 18 agosto 2000, n. 267, in materia di consolidamento delle partecipazioni nei bilanci degli enti proprietari; </w:t>
      </w:r>
    </w:p>
    <w:p w14:paraId="477701B8"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h) eliminazione di sovrapposizioni tra regole e istituti pubblicistici e privatistici ispirati alle medesime esigenze di disciplina e controllo; </w:t>
      </w:r>
    </w:p>
    <w:p w14:paraId="3B89D28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i) possibilità di piani di rientro per le società con bilanci in disavanzo con eventuale commissariamento; </w:t>
      </w:r>
    </w:p>
    <w:p w14:paraId="315E40F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l) regolazione dei flussi finanziari, sotto qualsiasi forma, tra amministrazione pubblica e società partecipate secondo i criteri di parità di trattamento tra imprese pubbliche e private e operatore di mercato; </w:t>
      </w:r>
    </w:p>
    <w:p w14:paraId="07EFE961"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m) con riferimento alle società partecipate dagli enti locali: </w:t>
      </w:r>
    </w:p>
    <w:p w14:paraId="19D8DBF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per le società che gestiscono servizi strumentali e funzioni amministrative, definizione di criteri e procedure per la scelta del modello societario e per l'internalizzazione nonché di procedure, limiti e condizioni per l'assunzione, la conservazione e la razionalizzazione di partecipazioni, anche in relazione al numero dei dipendenti, al fatturato e ai risultati di gestione; </w:t>
      </w:r>
    </w:p>
    <w:p w14:paraId="2F7AA51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per le società che gestiscono servizi pubblici di interesse economico generale, individuazione di un numero massimo di esercizi con perdite di bilancio che comportino obblighi di liquidazione delle società, nonché definizione, in conformità con la disciplina dell'Unione europea, di criteri e strumenti di gestione volti ad assicurare il perseguimento dell'interesse pubblico e ad evitare effetti distorsivi sulla concorrenza, anche attraverso la disciplina dei contratti di servizio e delle carte dei diritti degli utenti e attraverso forme di controllo sulla gestione e sulla qualità dei servizi; </w:t>
      </w:r>
    </w:p>
    <w:p w14:paraId="0F1D06F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rafforzamento delle misure volte a garantire il raggiungimento di obiettivi di qualità, efficienza, efficacia ed economicità, anche attraverso la riduzione dell’entità e del numero delle partecipazioni e l'incentivazione dei processi di aggregazione, intervenendo sulla disciplina dei rapporti finanziari tra ente locale e società partecipate nel rispetto degli equilibri di finanza pubblica e al fine di una maggior trasparenza; </w:t>
      </w:r>
    </w:p>
    <w:p w14:paraId="67A17C8F"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4) promozione della trasparenza mediante pubblicazione, nel sito internet degli enti locali e delle società partecipate interessati, dei dati economico-patrimoniali e di indicatori di efficienza, sulla base di modelli generali che consentano il confronto, anche ai fini del rafforzamento e della semplificazione dei processi di armonizzazione dei sistemi contabili e degli schemi di bilancio delle amministrazioni pubbliche partecipanti e delle società partecipate; </w:t>
      </w:r>
    </w:p>
    <w:p w14:paraId="39346EB0"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5) introduzione di un sistema sanzionatorio per la mancata attuazione dei principi di razionalizzazione e riduzione di cui al presente articolo, basato anche sulla riduzione dei trasferimenti dello Stato alle amministrazioni che non ottemperano alle disposizioni in materia; </w:t>
      </w:r>
    </w:p>
    <w:p w14:paraId="2B872FA1"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6) introduzione di strumenti, anche contrattuali, volti a favorire la tutela dei livelli occupazionali nei processi di ristrutturazione e privatizzazione relativi alle società partecipate; </w:t>
      </w:r>
    </w:p>
    <w:p w14:paraId="7C3AF738"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7) ai fini del rafforzamento del sistema dei controlli interni previsti dal testo unico di cui al decreto legislativo 18 agosto 2000, n. 267, revisione degli obblighi di trasparenza e di rendicontazione delle società partecipate nei confronti degli enti locali soci, attraverso specifici flussi informativi che rendano analizzabili e confrontabili i dati economici e industriali del servizio, gli obblighi di servizio pubblico imposti e gli standard di qualità, per ciascun servizio o attività svolta dalle società medesime nell'esecuzione dei compiti affidati, anche attraverso l'adozione e la predisposizione di appositi schemi di contabilità separata.</w:t>
      </w:r>
    </w:p>
  </w:endnote>
  <w:endnote w:id="77">
    <w:p w14:paraId="7D2B275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6 Qualità delle informazioni </w:t>
      </w:r>
    </w:p>
    <w:p w14:paraId="7B91022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Le pubbliche amministrazioni garantiscono la qualità delle informazioni riportate nei siti istituzionali nel rispetto degli obblighi di pubblicazione previsti dalla legge, assicurandone l'integrità, il costante aggiornamento, la completezza, la tempestività, la semplicità di consultazione, la comprensibilità, l’omogeneità, la facile accessibilità, nonché la conformità ai documenti originali in possesso dell'amministrazione, l'indicazione della loro provenienza e la riutilizzabilità secondo quanto previsto dall'articolo 7. </w:t>
      </w:r>
    </w:p>
    <w:p w14:paraId="050C9260"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2. L'esigenza di assicurare adeguata qualità delle informazioni diffuse non può, in ogni caso, costituire motivo per l'omessa o ritardata pubblicazione dei dati, delle informazioni e dei documenti.</w:t>
      </w:r>
    </w:p>
  </w:endnote>
  <w:endnote w:id="78">
    <w:p w14:paraId="4E58184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8 Decorrenza e durata dell'obbligo di pubblicazione </w:t>
      </w:r>
    </w:p>
    <w:p w14:paraId="24A77C5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I documenti contenenti atti oggetto di pubblicazione obbligatoria ai sensi della normativa vigente sono pubblicati tempestivamente sul sito istituzionale dell'amministrazione. </w:t>
      </w:r>
    </w:p>
    <w:p w14:paraId="4859B959"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I documenti contenenti altre informazioni e dati oggetto di pubblicazione obbligatoria ai sensi della normativa vigente sono pubblicati e mantenuti aggiornati ai sensi delle disposizioni del presente decreto. </w:t>
      </w:r>
    </w:p>
    <w:p w14:paraId="3528577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3. I dati, le informazioni e i documenti oggetto di pubblicazione obbligatoria ai sensi della normativa vigente sono pubblicati per un periodo di 5 anni, decorrenti dal 1° gennaio dell'anno successivo a quello da cui decorre l'obbligo di pubblicazione, e comunque fino a che gli atti pubblicati producono i loro effetti, fatti salvi i diversi termini previsti dalla normativa in materia di trattamento dei dati personali e quanto previsto dagli articoli 14, comma 2, e 15, comma 4. Decorsi detti termini, i relativi dati e documenti sono accessibili ai sensi dell'articolo 5.</w:t>
      </w:r>
    </w:p>
    <w:p w14:paraId="67B0125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3-bis. L’Autorità nazionale anticorruzione, sulla base di una valutazione del rischio corruttivo, delle esigenze di semplificazione e delle richieste di accesso, determina, anche su proposta del Garante per la protezione dei dati personali, i casi in cui la durata della pubblicazione del dato e del documento può essere inferiore a 5 anni.</w:t>
      </w:r>
    </w:p>
  </w:endnote>
  <w:endnote w:id="79">
    <w:p w14:paraId="68BBC66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7 Dati aperti e riutilizzo </w:t>
      </w:r>
    </w:p>
    <w:p w14:paraId="06B8405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1. I documenti, le informazioni e i dati oggetto di pubblicazione obbligatoria ai sensi della normativa vigente, resi disponibili anche a seguito dell'accesso civico di cui all'articolo 5, sono pubblicati in formato di tipo aperto ai sensi dell'articolo 68 del Codice dell'amministrazione digitale, di cui al decreto legislativo 7 marzo 2005, n. 82, e sono riutilizzabili ai sensi del decreto legislativo 24 gennaio 2006, n. 36, del decreto legislativo 7 marzo 2005, n. 82, e del decreto legislativo 30 giugno 2003, n. 196, senza ulteriori restrizioni diverse dall'obbligo di citare la fonte e di rispettarne l'integrità.</w:t>
      </w:r>
    </w:p>
  </w:endnote>
  <w:endnote w:id="80">
    <w:p w14:paraId="6589A71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43 Responsabile per la trasparenza </w:t>
      </w:r>
    </w:p>
    <w:p w14:paraId="6CDC1ADC"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1. All'interno di ogni amministrazione il responsabile per la prevenzione della corruzione, di cui all'articolo 1, comma 7, della legge 6 novembre 2012, n. 190, svolge, di norma, le funzioni di Responsabile per la trasparenza, di seguito «Responsabile», e il suo nominativo è indicato nel Piano triennale per la prevenzione della corruzione. Il responsabile svolge stabilmente un’attività di controllo sull'adempimento da parte dell'amministrazione degli obblighi di pubblicazione previsti dalla normativa vigente, assicurando la completezza, la chiarezza e l'aggiornamento delle informazioni pubblicate, nonché segnalando all'organo di indirizzo politico, all'Organismo indipendente di valutazione (OIV), all’Autorità nazionale anticorruzione e, nei casi più gravi, all'ufficio di disciplina i casi di mancato o ritardato adempimento degli obblighi di pubblicazione.</w:t>
      </w:r>
    </w:p>
  </w:endnote>
  <w:endnote w:id="81">
    <w:p w14:paraId="52FF4D47"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43 Responsabile per la trasparenza</w:t>
      </w:r>
    </w:p>
    <w:p w14:paraId="2744713D"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 xml:space="preserve"> 5. In relazione alla loro gravità, il responsabile segnala i casi di inadempimento o di adempimento parziale degli obblighi in materia di pubblicazione previsti dalla normativa vigente, all'ufficio di disciplina, ai fini dell'eventuale attivazione del procedimento disciplinare. Il responsabile segnala altresì gli inadempimenti al vertice politico dell'amministrazione, all'OIV ai fini dell'attivazione delle altre forme di responsabilità.</w:t>
      </w:r>
    </w:p>
  </w:endnote>
  <w:endnote w:id="82">
    <w:p w14:paraId="07B8FFD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5 (Accesso civico a dati e documenti).</w:t>
      </w:r>
    </w:p>
    <w:p w14:paraId="5F3B83F1"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L'obbligo previsto dalla normativa vigente in capo alle pubbliche amministrazioni di pubblicare documenti, informazioni o dati comporta il diritto di chiunque di richiedere i medesimi, nei casi in cui sia stata omessa la loro pubblicazione. </w:t>
      </w:r>
    </w:p>
    <w:p w14:paraId="09418E2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ai sensi del presente decreto, nel rispetto dei limiti relativi alla tutela di interessi giuridicamente rilevanti secondo quanto previsto dall'articolo 5-bis. </w:t>
      </w:r>
    </w:p>
    <w:p w14:paraId="32F7C464"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L'esercizio del diritto di cui ai commi 1 e 2 non è sottoposto ad alcuna limitazione quanto alla legittimazione soggettiva del richiedente. L'istanza di accesso civico identifica i dati, le informazioni o i documenti richiesti e non richiede motivazione. L'istanza può essere trasmessa per via telematica secondo le modalità previste dal decreto legislativo 7 marzo 2005, n. 82, e successive modificazioni, ed è presentata alternativamente ad uno dei seguenti uffici: </w:t>
      </w:r>
    </w:p>
    <w:p w14:paraId="6635EFB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all'ufficio che detiene i dati, le informazioni o i documenti; </w:t>
      </w:r>
    </w:p>
    <w:p w14:paraId="3E3A32F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all'Ufficio relazioni con il pubblico; </w:t>
      </w:r>
    </w:p>
    <w:p w14:paraId="59C1443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ad altro ufficio indicato dall'amministrazione nella sezione "Amministrazione trasparente" del sito istituzionale; </w:t>
      </w:r>
    </w:p>
    <w:p w14:paraId="66636ED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d) al responsabile della prevenzione della corruzione e della trasparenza, ove l'istanza abbia a oggetto dati, informazioni o documenti oggetto di pubblicazione obbligatoria ai sensi del presente decreto. </w:t>
      </w:r>
    </w:p>
    <w:p w14:paraId="0FA0EF8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4. Il rilascio di dati o documenti in formato elettronico o cartaceo è gratuito, salvo il rimborso del costo effettivamente sostenuto e documentato dall'amministrazione per la riproduzione su supporti materiali. </w:t>
      </w:r>
    </w:p>
    <w:p w14:paraId="2C12B0D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5. Fatti salvi i casi di pubblicazione obbligatoria, l'amministrazione cui è indirizzata la richiesta di accesso, se individua soggetti controinteressati, ai sensi dell'articolo 5-bis, comma 2, è tenuta a dare comunicazione agli stessi, mediante invio di copia con raccomandata con avviso di ricevimento, o per via telematica per coloro che abbiano consentito tale forma di comunicazione. Entro dieci giorni dalla ricezione della comunicazione, i controinteressati possono presentare una motivata opposizione, anche per via telematica, alla richiesta di accesso. A decorrere dalla comunicazione ai controinteressati, il termine di cui al comma 6 è sospeso fino all'eventuale opposizione dei controinteressati. Decorso tale termine, la pubblica amministrazione provvede sulla richiesta, accertata la ricezione della comunicazione. </w:t>
      </w:r>
    </w:p>
    <w:p w14:paraId="6416FFE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6. Il procedimento di accesso civico deve concludersi con provvedimento espresso e motivato nel termine di trenta giorni dalla presentazione dell'istanza con la comunicazione al richiedente e agli eventuali controinteressati. In caso di accoglimento, l'amministrazione provvede a trasmettere tempestivamente al richiedente i dati o i documenti richiesti, ovvero, nel caso in cui l'istanza riguardi dati, informazioni o documenti oggetto di pubblicazione obbligatoria ai sensi del presente decreto, a pubblicare sul sito i dati, le informazioni o i documenti richiesti e a comunicare al richiedente l'avvenuta pubblicazione dello stesso, indicandogli il relativo collegamento ipertestuale. In caso di accoglimento della richiesta di accesso civico nonostante l'opposizione del controinteressato, salvi i casi di comprovata indifferibilità, l'amministrazione ne dà comunicazione al controinteressato e provvede a trasmettere al richiedente i dati o i documenti richiesti non prima di quindici giorni dalla ricezione della stessa comunicazione da parte del controinteressato. Il rifiuto, il differimento e la limitazione dell'accesso devono essere motivati con riferimento ai casi e ai limiti stabiliti dall'articolo 5-bis. Il responsabile della prevenzione della corruzione e della trasparenza può chiedere agli uffici della relativa amministrazione informazioni sull'esito delle istanze. </w:t>
      </w:r>
    </w:p>
    <w:p w14:paraId="6164D613"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7. Nei casi di diniego totale o parziale dell'accesso o di mancata risposta entro il termine indicato al comma 6, il richiedente può presentare richiesta di riesame al responsabile della prevenzione della corruzione e della trasparenza, di cui all'articolo 43, che decide con provvedimento motivato, entro il termine di venti giorni. Se l'accesso è stato negato o differito a tutela degli interessi di cui all'articolo 5-bis, comma 2, lettera a), il suddetto responsabile provvede sentito il Garante per la protezione dei dati personali, il quale si pronuncia entro il termine di dieci giorni dalla richiesta. A decorrere dalla comunicazione al Garante, il termine per l'adozione del provvedimento da parte del responsabile è sospeso, fino alla ricezione del parere del Garante e comunque per un periodo non superiore ai predetti dieci giorni. Avverso la decisione dell'amministrazione competente o, in caso di richiesta di riesame, avverso quella del responsabile della prevenzione della corruzione e della trasparenza, il richiedente può proporre ricorso al Tribunale amministrativo regionale ai sensi dell'articolo 116 del Codice del processo amministrativo di cui al decreto legislativo 2 luglio 2010, n. 104. </w:t>
      </w:r>
    </w:p>
    <w:p w14:paraId="747592D5"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8. Qualora si tratti di atti delle amministrazioni delle regioni o degli enti locali, il richiedente può altresì presentare ricorso al difensore civico competente per ambito territoriale, ove costituito. Qualora tale organo non sia stato istituito, la competenza è attribuita al difensore civico competente per l'ambito territoriale immediatamente superiore. Il ricorso va altresì notificato all'amministrazione interessata. Il difensore civico si pronuncia entro trenta giorni dalla presentazione del ricorso. Se il difensore civico ritiene illegittimo il diniego o il differimento, ne informa il richiedente e lo comunica all'amministrazione competente. Se questa non conferma il diniego o il differimento entro trenta giorni dal ricevimento della comunicazione del difensore civico, l'accesso è consentito. Qualora il richiedente l'accesso si sia rivolto al difensore civico, il termine di cui all'articolo 116, comma 1, del Codice del processo amministrativo decorre dalla data di ricevimento, da parte del richiedente, dell'esito della sua istanza al difensore civico. Se l'accesso è stato negato o differito a tutela degli interessi di cui all'articolo 5-bis, comma 2, lettera a), il difensore civico provvede sentito il Garante per la protezione dei dati personali, il quale si pronuncia entro il termine di dieci giorni dalla richiesta. A decorrere dalla comunicazione al Garante, il termine per la pronuncia del difensore è sospeso, fino alla ricezione del parere del Garante e comunque per un periodo non superiore ai predetti dieci giorni. </w:t>
      </w:r>
    </w:p>
    <w:p w14:paraId="5D8EDFDA"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9. Nei casi di accoglimento della richiesta di accesso, il controinteressato può presentare richiesta di riesame ai sensi del comma 7 e presentare ricorso al difensore civico ai sensi del comma 8. </w:t>
      </w:r>
    </w:p>
    <w:p w14:paraId="4D2E8C61"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10. Nel caso in cui la richiesta di accesso civico riguardi dati, informazioni o documenti oggetto di pubblicazione obbligatoria ai sensi del presente decreto, il responsabile della prevenzione della corruzione e della trasparenza ha l'obbligo di effettuare la segnalazione di cui all'articolo 43, comma 5. </w:t>
      </w:r>
    </w:p>
    <w:p w14:paraId="0DCC4B72"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11. Restano fermi gli obblighi di pubblicazione previsti dal Capo II, nonché le diverse forme di accesso degli interessati previste dal Capo V della legge 7 agosto 1990, n. 241.</w:t>
      </w:r>
    </w:p>
  </w:endnote>
  <w:endnote w:id="83">
    <w:p w14:paraId="7176FE99" w14:textId="77777777" w:rsidR="00AE3019" w:rsidRPr="00046EA0" w:rsidRDefault="00AE3019" w:rsidP="00E12EE9">
      <w:pPr>
        <w:widowControl w:val="0"/>
        <w:spacing w:after="0" w:line="240" w:lineRule="auto"/>
        <w:jc w:val="both"/>
        <w:rPr>
          <w:rFonts w:ascii="Times New Roman" w:hAnsi="Times New Roman"/>
          <w:spacing w:val="1"/>
          <w:sz w:val="12"/>
          <w:szCs w:val="12"/>
        </w:rPr>
      </w:pPr>
      <w:r w:rsidRPr="00046EA0">
        <w:rPr>
          <w:rStyle w:val="Rimandonotadichiusura"/>
          <w:rFonts w:ascii="Times New Roman" w:hAnsi="Times New Roman"/>
          <w:sz w:val="12"/>
          <w:szCs w:val="12"/>
        </w:rPr>
        <w:endnoteRef/>
      </w:r>
      <w:r w:rsidRPr="00046EA0">
        <w:rPr>
          <w:rFonts w:ascii="Times New Roman" w:hAnsi="Times New Roman"/>
          <w:spacing w:val="1"/>
          <w:sz w:val="12"/>
          <w:szCs w:val="12"/>
        </w:rPr>
        <w:t xml:space="preserve"> Art. 7 e 7-bis del D.Lgs. 33/2013</w:t>
      </w:r>
    </w:p>
  </w:endnote>
  <w:endnote w:id="84">
    <w:p w14:paraId="7D121788"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lang w:val="en-US"/>
        </w:rPr>
        <w:t xml:space="preserve"> D.Lgs. 33/2013, art. 8, comma 3-bis. </w:t>
      </w:r>
      <w:r w:rsidRPr="00046EA0">
        <w:rPr>
          <w:rFonts w:ascii="Times New Roman" w:hAnsi="Times New Roman"/>
          <w:sz w:val="12"/>
          <w:szCs w:val="12"/>
        </w:rPr>
        <w:t>L’Autorità nazionale anticorruzione, sulla base di una valutazione del rischio corruttivo, delle esigenze di semplificazione e delle richieste di accesso, determina, anche su proposta del Garante per la protezione dei dati personali, i casi in cui la durata della pubblicazione del dato e del documento può essere inferiore a 5 anni.</w:t>
      </w:r>
    </w:p>
  </w:endnote>
  <w:endnote w:id="85">
    <w:p w14:paraId="3A1DC899"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15-bis (Obblighi di pubblicazione concernenti incarichi conferiti nelle società controllate).</w:t>
      </w:r>
    </w:p>
    <w:p w14:paraId="23A569B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Fermo restando quanto previsto dall'articolo 9-bis, le società a controllo pubblico, nonché le società in regime di amministrazione straordinaria, ad esclusione delle società emittenti strumenti finanziari quotati nei mercati regolamentati e loro controllate, pubblicano, entro trenta giorni dal conferimento di incarichi di collaborazione, di consulenza o di incarichi professionali, inclusi quelli arbitrali, e per i due anni successivi alla loro cessazione, le seguenti informazioni: </w:t>
      </w:r>
    </w:p>
    <w:p w14:paraId="1BD5DDB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gli estremi dell'atto di conferimento dell'incarico, l'oggetto della prestazione, la ragione dell'incarico e la durata; </w:t>
      </w:r>
    </w:p>
    <w:p w14:paraId="76A854FA"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il curriculum vitae; </w:t>
      </w:r>
    </w:p>
    <w:p w14:paraId="32D0F94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i compensi, comunque denominati, relativi al rapporto di consulenza o di collaborazione, nonché agli incarichi professionali, inclusi quelli arbitrali; </w:t>
      </w:r>
    </w:p>
    <w:p w14:paraId="15F8C9D4"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d) il tipo di procedura seguita per la selezione del contraente e il numero di partecipanti alla procedura.</w:t>
      </w:r>
    </w:p>
  </w:endnote>
  <w:endnote w:id="86">
    <w:p w14:paraId="04638F1A" w14:textId="77777777" w:rsidR="00AE3019" w:rsidRPr="00046EA0" w:rsidRDefault="00AE3019" w:rsidP="00E12EE9">
      <w:pPr>
        <w:pStyle w:val="Testonotadichiusura"/>
        <w:widowControl w:val="0"/>
        <w:jc w:val="both"/>
        <w:rPr>
          <w:rFonts w:ascii="Times New Roman" w:hAnsi="Times New Roman"/>
          <w:sz w:val="12"/>
          <w:szCs w:val="12"/>
          <w:lang w:val="en-US"/>
        </w:rPr>
      </w:pPr>
      <w:r w:rsidRPr="00046EA0">
        <w:rPr>
          <w:rStyle w:val="Rimandonotadichiusura"/>
          <w:rFonts w:ascii="Times New Roman" w:hAnsi="Times New Roman"/>
          <w:sz w:val="12"/>
          <w:szCs w:val="12"/>
        </w:rPr>
        <w:endnoteRef/>
      </w:r>
      <w:r w:rsidRPr="00046EA0">
        <w:rPr>
          <w:rFonts w:ascii="Times New Roman" w:hAnsi="Times New Roman"/>
          <w:sz w:val="12"/>
          <w:szCs w:val="12"/>
          <w:lang w:val="en-US"/>
        </w:rPr>
        <w:t xml:space="preserve"> Cfr. nota 70</w:t>
      </w:r>
    </w:p>
  </w:endnote>
  <w:endnote w:id="87">
    <w:p w14:paraId="7A759E0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lang w:val="en-US"/>
        </w:rPr>
        <w:t xml:space="preserve"> D.Lgs. 82/2005, art. 68. </w:t>
      </w:r>
      <w:r w:rsidRPr="00046EA0">
        <w:rPr>
          <w:rFonts w:ascii="Times New Roman" w:hAnsi="Times New Roman"/>
          <w:sz w:val="12"/>
          <w:szCs w:val="12"/>
        </w:rPr>
        <w:t xml:space="preserve">Analisi comparativa delle soluzioni </w:t>
      </w:r>
    </w:p>
    <w:p w14:paraId="0D3D4F1D"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Le pubbliche amministrazioni acquisiscono programmi informatici o parti di essi nel rispetto dei principi di economicità e di efficienza, tutela degli investimenti, riuso e neutralità tecnologica, a seguito di una valutazione comparativa di tipo tecnico ed economico tra le seguenti soluzioni disponibili sul mercato: </w:t>
      </w:r>
    </w:p>
    <w:p w14:paraId="0410BEB7"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software sviluppato per conto della pubblica amministrazione; </w:t>
      </w:r>
    </w:p>
    <w:p w14:paraId="11712848"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riutilizzo di software o parti di esso sviluppati per conto della pubblica amministrazione; </w:t>
      </w:r>
    </w:p>
    <w:p w14:paraId="3D2315A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software libero o a codice sorgente aperto; </w:t>
      </w:r>
    </w:p>
    <w:p w14:paraId="06030DDA"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d) software fruibile in modalità </w:t>
      </w:r>
      <w:r w:rsidRPr="00046EA0">
        <w:rPr>
          <w:rFonts w:ascii="Times New Roman" w:hAnsi="Times New Roman"/>
          <w:i/>
          <w:sz w:val="12"/>
          <w:szCs w:val="12"/>
        </w:rPr>
        <w:t>cloud computing</w:t>
      </w:r>
      <w:r w:rsidRPr="00046EA0">
        <w:rPr>
          <w:rFonts w:ascii="Times New Roman" w:hAnsi="Times New Roman"/>
          <w:sz w:val="12"/>
          <w:szCs w:val="12"/>
        </w:rPr>
        <w:t xml:space="preserve">; </w:t>
      </w:r>
    </w:p>
    <w:p w14:paraId="3E3717AC"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e) software di tipo proprietario mediante ricorso a licenza d'uso; </w:t>
      </w:r>
    </w:p>
    <w:p w14:paraId="6293F328"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f) software combinazione delle precedenti soluzioni. </w:t>
      </w:r>
    </w:p>
    <w:p w14:paraId="60E41EE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1-bis. A tal fine, le pubbliche amministrazioni prima di procedere all'acquisto, secondo le procedure di cui al codice di cui al decreto legislativo 12 aprile 2006 n. 163, effettuano una valutazione comparativa delle diverse soluzioni disponibili sulla base dei seguenti criteri: </w:t>
      </w:r>
    </w:p>
    <w:p w14:paraId="2A8311F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costo complessivo del programma o soluzione quale costo di acquisto, di implementazione, di mantenimento e supporto; </w:t>
      </w:r>
    </w:p>
    <w:p w14:paraId="0154D620"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livello di utilizzo di formati di dati e di interfacce di tipo aperto nonché di standard in grado di assicurare l’interoperabilità e la cooperazione applicativa tra i diversi sistemi informatici della pubblica amministrazione; </w:t>
      </w:r>
    </w:p>
    <w:p w14:paraId="2EA72F3E"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c) garanzie del fornitore in materia di livelli di sicurezza, conformità alla normativa in materia di protezione dei dati personali, livelli di servizio tenuto conto della tipologia di software acquisito. </w:t>
      </w:r>
    </w:p>
    <w:p w14:paraId="5ECC180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1-ter. Ove dalla valutazione comparativa di tipo tecnico ed economico, secondo i criteri di cui al comma 1-bis, risulti motivatamente l’impossibilità di accedere a soluzioni già disponibili all'interno della pubblica amministrazione, o a software liberi o a codici sorgente aperto, adeguati alle esigenze da soddisfare, è consentita l'acquisizione di programmi informatici di tipo proprietario mediante ricorso a licenza d'uso. La valutazione di cui al presente comma è effettuata secondo le modalità e i criteri definiti dall'Agenzia per l'Italia digitale, che, a richiesta di soggetti interessati, esprime altresì parere circa il loro rispetto. </w:t>
      </w:r>
    </w:p>
    <w:p w14:paraId="56C33E04"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Le pubbliche amministrazioni nella predisposizione o nell'acquisizione dei programmi informatici, adottano soluzioni informatiche, quando possibile modulari, basate sui sistemi funzionali resi noti ai sensi dell'articolo 70, che assicurino l’interoperabilità e la cooperazione applicativa e consentano la rappresentazione dei dati e documenti in più formati, di cui almeno uno di tipo aperto, salvo che ricorrano motivate ed eccezionali esigenze. </w:t>
      </w:r>
    </w:p>
    <w:p w14:paraId="1B2F03B6"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2-bis. Le amministrazioni pubbliche comunicano tempestivamente al DigitPA l'adozione delle applicazioni informatiche e delle pratiche tecnologiche, e organizzative, adottate, fornendo ogni utile informazione ai fini della piena conoscibilità delle soluzioni adottate e dei risultati ottenuti, anche per favorire il riuso e la più ampia diffusione delle migliori pratiche. </w:t>
      </w:r>
    </w:p>
    <w:p w14:paraId="75AE11F0"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Agli effetti del presente decreto legislativo si intende per: </w:t>
      </w:r>
    </w:p>
    <w:p w14:paraId="31F32690"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formato dei dati di tipo aperto, un formato di dati reso pubblico, documentato esaustivamente e neutro rispetto agli strumenti tecnologici necessari per la fruizione dei dati stessi; </w:t>
      </w:r>
    </w:p>
    <w:p w14:paraId="581B3E40"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b) dati di tipo aperto, i dati che presentano le seguenti caratteristiche: </w:t>
      </w:r>
    </w:p>
    <w:p w14:paraId="282FF238"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sono disponibili secondo i termini di una licenza che ne permetta l'utilizzo da parte di chiunque, anche per finalità commerciali, in formato disaggregato; </w:t>
      </w:r>
    </w:p>
    <w:p w14:paraId="526C276F"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2) sono accessibili attraverso le tecnologie dell'informazione e della comunicazione, ivi comprese le reti telematiche pubbliche e private, in formati aperti ai sensi della lettera a), sono adatti all'utilizzo automatico da parte di programmi per elaboratori e sono provvisti dei relativi metadati; </w:t>
      </w:r>
    </w:p>
    <w:p w14:paraId="1A31A60B" w14:textId="77777777" w:rsidR="00AE3019" w:rsidRPr="00046EA0" w:rsidRDefault="00AE3019" w:rsidP="00E12EE9">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3) sono resi disponibili gratuitamente attraverso le tecnologie dell'informazione e della comunicazione, ivi comprese le reti telematiche pubbliche e private, oppure sono resi disponibili ai costi marginali sostenuti per la loro riproduzione e divulgazione, salvo i casi previsti dall'articolo 7 del decreto legislativo 24 gennaio 2006, n. 36, e secondo le tariffe determinate con le modalità di cui al medesimo articolo. </w:t>
      </w:r>
    </w:p>
    <w:p w14:paraId="7DBBA9DE" w14:textId="77777777" w:rsidR="00AE3019" w:rsidRPr="00046EA0" w:rsidRDefault="00AE3019" w:rsidP="00E12EE9">
      <w:pPr>
        <w:pStyle w:val="Testonotadichiusura"/>
        <w:widowControl w:val="0"/>
        <w:jc w:val="both"/>
        <w:rPr>
          <w:rFonts w:ascii="Times New Roman" w:hAnsi="Times New Roman"/>
          <w:sz w:val="12"/>
          <w:szCs w:val="12"/>
        </w:rPr>
      </w:pPr>
      <w:r w:rsidRPr="00046EA0">
        <w:rPr>
          <w:rFonts w:ascii="Times New Roman" w:hAnsi="Times New Roman"/>
          <w:sz w:val="12"/>
          <w:szCs w:val="12"/>
        </w:rPr>
        <w:t>4. Il DigitPA istruisce ed aggiorna, con periodicità almeno annuale, un repertorio dei formati aperti utilizzabili nelle pubbliche amministrazioni e delle modalità di trasferimento dei formati.</w:t>
      </w:r>
    </w:p>
  </w:endnote>
  <w:endnote w:id="88">
    <w:p w14:paraId="23709A7E" w14:textId="77777777" w:rsidR="00AE3019" w:rsidRPr="00046EA0" w:rsidRDefault="00AE3019" w:rsidP="00E12EE9">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In sede di prima applicazione verranno utilizzatiti file in formato Microsoft word, Microsoft Excel, Adobe pdf, ecc..</w:t>
      </w:r>
    </w:p>
  </w:endnote>
  <w:endnote w:id="89">
    <w:p w14:paraId="31E39C88" w14:textId="77777777" w:rsidR="00AE3019" w:rsidRPr="00046EA0" w:rsidRDefault="00AE3019" w:rsidP="00C61C01">
      <w:pPr>
        <w:pStyle w:val="Testonotadichiusura"/>
        <w:widowControl w:val="0"/>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33/2013, art. 10, comma 6. Ogni amministrazione presenta il Piano e la Relazione sulla performance di cui all'articolo 10, comma 1, lettere a) e b), del decreto legislativo n. 150 del 2009 alle associazioni di consumatori o utenti, ai centri di ricerca e a ogni altro osservatore qualificato, nell'ambito di apposite giornate della trasparenza senza nuovi o maggiori oneri per la finanza pubblica.</w:t>
      </w:r>
    </w:p>
  </w:endnote>
  <w:endnote w:id="90">
    <w:p w14:paraId="03F8CF33" w14:textId="77777777" w:rsidR="00AE3019" w:rsidRPr="00046EA0" w:rsidRDefault="00AE3019" w:rsidP="00C61C01">
      <w:pPr>
        <w:widowControl w:val="0"/>
        <w:spacing w:after="0" w:line="240" w:lineRule="auto"/>
        <w:jc w:val="both"/>
        <w:rPr>
          <w:rFonts w:ascii="Times New Roman" w:hAnsi="Times New Roman"/>
          <w:sz w:val="12"/>
          <w:szCs w:val="12"/>
        </w:rPr>
      </w:pPr>
      <w:r w:rsidRPr="00046EA0">
        <w:rPr>
          <w:rStyle w:val="Rimandonotadichiusura"/>
          <w:rFonts w:ascii="Times New Roman" w:hAnsi="Times New Roman"/>
          <w:sz w:val="12"/>
          <w:szCs w:val="12"/>
        </w:rPr>
        <w:endnoteRef/>
      </w:r>
      <w:r w:rsidRPr="00046EA0">
        <w:rPr>
          <w:rFonts w:ascii="Times New Roman" w:hAnsi="Times New Roman"/>
          <w:sz w:val="12"/>
          <w:szCs w:val="12"/>
        </w:rPr>
        <w:t xml:space="preserve"> D.Lgs. 150/2009, art. 10. Piano della performance e Relazione sulla performance </w:t>
      </w:r>
    </w:p>
    <w:p w14:paraId="7B317712" w14:textId="77777777" w:rsidR="00AE3019" w:rsidRPr="00046EA0" w:rsidRDefault="00AE3019" w:rsidP="00C61C01">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1. Al fine di assicurare la qualità, comprensibilità ed attendibilità dei documenti di rappresentazione della performance, le amministrazioni pubbliche, secondo quanto stabilito dall'articolo 15, comma 2, lettera d), redigono annualmente: </w:t>
      </w:r>
    </w:p>
    <w:p w14:paraId="33B1D970" w14:textId="77777777" w:rsidR="00AE3019" w:rsidRPr="00046EA0" w:rsidRDefault="00AE3019" w:rsidP="00C61C01">
      <w:pPr>
        <w:widowControl w:val="0"/>
        <w:spacing w:after="0" w:line="240" w:lineRule="auto"/>
        <w:jc w:val="both"/>
        <w:rPr>
          <w:rFonts w:ascii="Times New Roman" w:hAnsi="Times New Roman"/>
          <w:sz w:val="12"/>
          <w:szCs w:val="12"/>
        </w:rPr>
      </w:pPr>
      <w:r w:rsidRPr="00046EA0">
        <w:rPr>
          <w:rFonts w:ascii="Times New Roman" w:hAnsi="Times New Roman"/>
          <w:sz w:val="12"/>
          <w:szCs w:val="12"/>
        </w:rPr>
        <w:t xml:space="preserve">a) entro il 31 gennaio, un documento programmatico triennale, denominato Piano della performance da adottare in coerenza con i contenuti e il ciclo della programmazione finanziaria e di bilancio, che individua gli indirizzi e gli obiettivi strategici ed operativi e definisce, con riferimento agli obiettivi finali ed intermedi ed alle risorse, gli indicatori per la misurazione e la valutazione della performance dell'amministrazione, nonché gli obiettivi assegnati al personale dirigenziale ed i relativi indicatori; </w:t>
      </w:r>
    </w:p>
    <w:p w14:paraId="48EF66BE" w14:textId="77777777" w:rsidR="00AE3019" w:rsidRPr="00046EA0" w:rsidRDefault="00AE3019" w:rsidP="00C61C01">
      <w:pPr>
        <w:pStyle w:val="Testonotadichiusura"/>
        <w:widowControl w:val="0"/>
        <w:jc w:val="both"/>
        <w:rPr>
          <w:rFonts w:ascii="Times New Roman" w:hAnsi="Times New Roman"/>
          <w:sz w:val="12"/>
          <w:szCs w:val="12"/>
        </w:rPr>
      </w:pPr>
      <w:r w:rsidRPr="00046EA0">
        <w:rPr>
          <w:rFonts w:ascii="Times New Roman" w:hAnsi="Times New Roman"/>
          <w:sz w:val="12"/>
          <w:szCs w:val="12"/>
        </w:rPr>
        <w:t>b) un documento, da adottare entro il 30 giugno, denominato: «Relazione sulla performance» che evidenzia, a consuntivo, con riferimento all'anno precedente, i risultati organizzativi e individuali raggiunti rispetto ai singoli obiettivi programmati ed alle risorse, con rilevazione degli eventuali scostamenti, e il bilancio di genere realizzato.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GaramondPro-Italic">
    <w:altName w:val="Calibri"/>
    <w:panose1 w:val="00000000000000000000"/>
    <w:charset w:val="00"/>
    <w:family w:val="auto"/>
    <w:notTrueType/>
    <w:pitch w:val="default"/>
    <w:sig w:usb0="00000003" w:usb1="00000000" w:usb2="00000000" w:usb3="00000000" w:csb0="00000001" w:csb1="00000000"/>
  </w:font>
  <w:font w:name="SymbolMT">
    <w:altName w:val="Microsoft JhengHei 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7B755C" w14:textId="4BE7A830" w:rsidR="00AE3019" w:rsidRPr="0092096A" w:rsidRDefault="00AE3019" w:rsidP="0092096A">
    <w:pPr>
      <w:pStyle w:val="Pidipagina"/>
      <w:spacing w:after="0"/>
      <w:jc w:val="right"/>
      <w:rPr>
        <w:rFonts w:ascii="Times New Roman" w:hAnsi="Times New Roman"/>
        <w:sz w:val="16"/>
        <w:szCs w:val="16"/>
      </w:rPr>
    </w:pPr>
    <w:r w:rsidRPr="0092096A">
      <w:rPr>
        <w:rFonts w:ascii="Times New Roman" w:hAnsi="Times New Roman"/>
        <w:sz w:val="16"/>
        <w:szCs w:val="16"/>
      </w:rPr>
      <w:fldChar w:fldCharType="begin"/>
    </w:r>
    <w:r w:rsidRPr="0092096A">
      <w:rPr>
        <w:rFonts w:ascii="Times New Roman" w:hAnsi="Times New Roman"/>
        <w:sz w:val="16"/>
        <w:szCs w:val="16"/>
      </w:rPr>
      <w:instrText>PAGE   \* MERGEFORMAT</w:instrText>
    </w:r>
    <w:r w:rsidRPr="0092096A">
      <w:rPr>
        <w:rFonts w:ascii="Times New Roman" w:hAnsi="Times New Roman"/>
        <w:sz w:val="16"/>
        <w:szCs w:val="16"/>
      </w:rPr>
      <w:fldChar w:fldCharType="separate"/>
    </w:r>
    <w:r w:rsidR="00075213" w:rsidRPr="00075213">
      <w:rPr>
        <w:rFonts w:ascii="Times New Roman" w:hAnsi="Times New Roman"/>
        <w:noProof/>
        <w:sz w:val="16"/>
        <w:szCs w:val="16"/>
        <w:lang w:val="it-IT"/>
      </w:rPr>
      <w:t>36</w:t>
    </w:r>
    <w:r w:rsidRPr="0092096A">
      <w:rPr>
        <w:rFonts w:ascii="Times New Roman" w:hAnsi="Times New Roman"/>
        <w:sz w:val="16"/>
        <w:szCs w:val="16"/>
      </w:rPr>
      <w:fldChar w:fldCharType="end"/>
    </w:r>
  </w:p>
  <w:p w14:paraId="5452150D" w14:textId="77777777" w:rsidR="00AE3019" w:rsidRPr="0092096A" w:rsidRDefault="00AE3019" w:rsidP="0092096A">
    <w:pPr>
      <w:pStyle w:val="Pidipagina"/>
      <w:spacing w:after="0"/>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59002" w14:textId="77777777" w:rsidR="00483705" w:rsidRDefault="00483705" w:rsidP="00CB77A2">
      <w:pPr>
        <w:spacing w:after="0" w:line="240" w:lineRule="auto"/>
      </w:pPr>
      <w:r>
        <w:separator/>
      </w:r>
    </w:p>
  </w:footnote>
  <w:footnote w:type="continuationSeparator" w:id="0">
    <w:p w14:paraId="5C7E7A0E" w14:textId="77777777" w:rsidR="00483705" w:rsidRDefault="00483705" w:rsidP="00CB77A2">
      <w:pPr>
        <w:spacing w:after="0" w:line="240" w:lineRule="auto"/>
      </w:pPr>
      <w:r>
        <w:continuationSeparator/>
      </w:r>
    </w:p>
  </w:footnote>
  <w:footnote w:type="continuationNotice" w:id="1">
    <w:p w14:paraId="2CE44A08" w14:textId="77777777" w:rsidR="00483705" w:rsidRDefault="00483705">
      <w:pPr>
        <w:spacing w:after="0" w:line="240" w:lineRule="auto"/>
      </w:pPr>
    </w:p>
  </w:footnote>
  <w:footnote w:id="2">
    <w:p w14:paraId="35CFC3EB" w14:textId="77777777" w:rsidR="00AE3019" w:rsidRPr="00B10B8E" w:rsidRDefault="00AE3019" w:rsidP="00B10B8E">
      <w:pPr>
        <w:pStyle w:val="Testonotaapidipagina"/>
        <w:spacing w:after="0" w:line="240" w:lineRule="auto"/>
        <w:jc w:val="both"/>
        <w:rPr>
          <w:rFonts w:ascii="Times New Roman" w:hAnsi="Times New Roman"/>
          <w:sz w:val="18"/>
          <w:szCs w:val="18"/>
          <w:lang w:val="it-IT" w:eastAsia="it-IT"/>
        </w:rPr>
      </w:pPr>
      <w:r w:rsidRPr="0047360A">
        <w:rPr>
          <w:rStyle w:val="Rimandonotaapidipagina"/>
          <w:rFonts w:ascii="Times New Roman" w:hAnsi="Times New Roman"/>
        </w:rPr>
        <w:footnoteRef/>
      </w:r>
      <w:r w:rsidRPr="0047360A">
        <w:rPr>
          <w:rFonts w:ascii="Times New Roman" w:hAnsi="Times New Roman"/>
        </w:rPr>
        <w:t xml:space="preserve"> </w:t>
      </w:r>
      <w:r w:rsidRPr="00B10B8E">
        <w:rPr>
          <w:rFonts w:ascii="Times New Roman" w:hAnsi="Times New Roman"/>
          <w:sz w:val="18"/>
          <w:szCs w:val="18"/>
          <w:lang w:val="it-IT"/>
        </w:rPr>
        <w:t>Al</w:t>
      </w:r>
      <w:r w:rsidRPr="00B10B8E">
        <w:rPr>
          <w:sz w:val="18"/>
          <w:szCs w:val="18"/>
          <w:lang w:val="it-IT"/>
        </w:rPr>
        <w:t xml:space="preserve"> </w:t>
      </w:r>
      <w:r w:rsidRPr="00B10B8E">
        <w:rPr>
          <w:rFonts w:ascii="Times New Roman" w:hAnsi="Times New Roman"/>
          <w:sz w:val="18"/>
          <w:szCs w:val="18"/>
        </w:rPr>
        <w:t xml:space="preserve">Codice Etico, </w:t>
      </w:r>
      <w:r w:rsidRPr="00B10B8E">
        <w:rPr>
          <w:rFonts w:ascii="Times New Roman" w:hAnsi="Times New Roman"/>
          <w:sz w:val="18"/>
          <w:szCs w:val="18"/>
          <w:lang w:eastAsia="it-IT"/>
        </w:rPr>
        <w:t>di Comportamento</w:t>
      </w:r>
      <w:r w:rsidRPr="00B10B8E">
        <w:rPr>
          <w:rFonts w:ascii="Times New Roman" w:hAnsi="Times New Roman"/>
          <w:sz w:val="18"/>
          <w:szCs w:val="18"/>
          <w:lang w:val="it-IT" w:eastAsia="it-IT"/>
        </w:rPr>
        <w:t xml:space="preserve"> e Sanzionatorio sono inclusi 4 sub allegati. </w:t>
      </w:r>
    </w:p>
    <w:p w14:paraId="4163BCC4" w14:textId="667D5624" w:rsidR="00AE3019" w:rsidRPr="00B10B8E" w:rsidRDefault="00AE3019" w:rsidP="00B10B8E">
      <w:pPr>
        <w:pStyle w:val="Testonotaapidipagina"/>
        <w:spacing w:after="0" w:line="240" w:lineRule="auto"/>
        <w:jc w:val="both"/>
        <w:rPr>
          <w:rFonts w:ascii="Times New Roman" w:hAnsi="Times New Roman"/>
          <w:b/>
          <w:sz w:val="18"/>
          <w:szCs w:val="18"/>
          <w:lang w:val="it-IT" w:eastAsia="it-IT"/>
        </w:rPr>
      </w:pPr>
      <w:r>
        <w:rPr>
          <w:rFonts w:ascii="Times New Roman" w:hAnsi="Times New Roman"/>
          <w:b/>
          <w:sz w:val="18"/>
          <w:szCs w:val="18"/>
          <w:lang w:val="it-IT" w:eastAsia="it-IT"/>
        </w:rPr>
        <w:t xml:space="preserve">- </w:t>
      </w:r>
      <w:r w:rsidRPr="00B10B8E">
        <w:rPr>
          <w:rFonts w:ascii="Times New Roman" w:hAnsi="Times New Roman"/>
          <w:b/>
          <w:sz w:val="18"/>
          <w:szCs w:val="18"/>
          <w:lang w:val="it-IT" w:eastAsia="it-IT"/>
        </w:rPr>
        <w:t>Allegato 2.1:</w:t>
      </w:r>
      <w:r w:rsidRPr="00B10B8E">
        <w:rPr>
          <w:rFonts w:ascii="Times New Roman" w:hAnsi="Times New Roman"/>
          <w:sz w:val="18"/>
          <w:szCs w:val="18"/>
          <w:lang w:val="it-IT" w:eastAsia="it-IT"/>
        </w:rPr>
        <w:t xml:space="preserve"> </w:t>
      </w:r>
      <w:r w:rsidRPr="00B10B8E">
        <w:rPr>
          <w:rFonts w:ascii="Times New Roman" w:hAnsi="Times New Roman"/>
          <w:sz w:val="18"/>
          <w:szCs w:val="18"/>
        </w:rPr>
        <w:t xml:space="preserve">Politica e Impegno Etico della </w:t>
      </w:r>
      <w:r w:rsidRPr="002E021F">
        <w:rPr>
          <w:rFonts w:ascii="Times New Roman" w:hAnsi="Times New Roman"/>
          <w:b/>
          <w:sz w:val="18"/>
          <w:szCs w:val="18"/>
        </w:rPr>
        <w:t>MULTISERVIZI DEI CASTELLI DI MARINO S.p.A</w:t>
      </w:r>
      <w:r w:rsidRPr="00B10B8E">
        <w:rPr>
          <w:rFonts w:ascii="Times New Roman" w:hAnsi="Times New Roman"/>
          <w:sz w:val="18"/>
          <w:szCs w:val="18"/>
        </w:rPr>
        <w:t>.</w:t>
      </w:r>
      <w:r w:rsidRPr="00B10B8E">
        <w:rPr>
          <w:rFonts w:ascii="Times New Roman" w:hAnsi="Times New Roman"/>
          <w:sz w:val="18"/>
          <w:szCs w:val="18"/>
          <w:lang w:val="it-IT"/>
        </w:rPr>
        <w:t>;</w:t>
      </w:r>
      <w:r w:rsidRPr="00B10B8E">
        <w:rPr>
          <w:rFonts w:ascii="Times New Roman" w:hAnsi="Times New Roman"/>
          <w:b/>
          <w:sz w:val="18"/>
          <w:szCs w:val="18"/>
          <w:lang w:val="it-IT" w:eastAsia="it-IT"/>
        </w:rPr>
        <w:t xml:space="preserve"> </w:t>
      </w:r>
    </w:p>
    <w:p w14:paraId="0A8F7D2B" w14:textId="7C160D22" w:rsidR="00AE3019" w:rsidRPr="002706B8" w:rsidRDefault="00AE3019" w:rsidP="00B10B8E">
      <w:pPr>
        <w:spacing w:after="0" w:line="240" w:lineRule="auto"/>
        <w:jc w:val="both"/>
        <w:rPr>
          <w:rFonts w:ascii="Times New Roman" w:hAnsi="Times New Roman"/>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06B8">
        <w:rPr>
          <w:rFonts w:ascii="Times New Roman" w:hAnsi="Times New Roman"/>
          <w:b/>
          <w:sz w:val="18"/>
          <w:szCs w:val="18"/>
          <w:lang w:eastAsia="it-IT"/>
        </w:rPr>
        <w:t>- Allegato 2.2.:</w:t>
      </w:r>
      <w:r w:rsidRPr="002706B8">
        <w:rPr>
          <w:rFonts w:ascii="Times New Roman" w:hAnsi="Times New Roman"/>
          <w:sz w:val="18"/>
          <w:szCs w:val="18"/>
        </w:rPr>
        <w:t xml:space="preserve"> </w:t>
      </w:r>
      <w:r w:rsidRPr="002706B8">
        <w:rPr>
          <w:rFonts w:ascii="Times New Roman" w:hAnsi="Times New Roman"/>
          <w:sz w:val="18"/>
          <w:szCs w:val="1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Linee guida su come evitare le situazioni in cui gli interessi personali possono entrare in conflitto con le responsabilità aziendali;</w:t>
      </w:r>
    </w:p>
    <w:p w14:paraId="34A27151" w14:textId="0A59A4B7" w:rsidR="00AE3019" w:rsidRDefault="00AE3019" w:rsidP="00B10B8E">
      <w:pPr>
        <w:spacing w:after="0" w:line="240" w:lineRule="auto"/>
        <w:jc w:val="both"/>
        <w:rPr>
          <w:rFonts w:ascii="Times New Roman" w:hAnsi="Times New Roman"/>
          <w:sz w:val="18"/>
          <w:szCs w:val="18"/>
        </w:rPr>
      </w:pPr>
      <w:r w:rsidRPr="002706B8">
        <w:rPr>
          <w:rFonts w:ascii="Times New Roman" w:hAnsi="Times New Roman"/>
          <w:b/>
          <w:sz w:val="18"/>
          <w:szCs w:val="18"/>
          <w:lang w:eastAsia="it-IT"/>
        </w:rPr>
        <w:t>- Allegato 2.3.:</w:t>
      </w:r>
      <w:r w:rsidRPr="00B10B8E">
        <w:rPr>
          <w:rFonts w:ascii="Times New Roman" w:hAnsi="Times New Roman"/>
          <w:b/>
          <w:sz w:val="18"/>
          <w:szCs w:val="18"/>
        </w:rPr>
        <w:t xml:space="preserve"> </w:t>
      </w:r>
      <w:r w:rsidRPr="00B10B8E">
        <w:rPr>
          <w:rFonts w:ascii="Times New Roman" w:hAnsi="Times New Roman"/>
          <w:sz w:val="18"/>
          <w:szCs w:val="18"/>
        </w:rPr>
        <w:t>Regole di comportamento per i dipendenti</w:t>
      </w:r>
      <w:r>
        <w:rPr>
          <w:rFonts w:ascii="Times New Roman" w:hAnsi="Times New Roman"/>
          <w:sz w:val="18"/>
          <w:szCs w:val="18"/>
        </w:rPr>
        <w:t>;</w:t>
      </w:r>
    </w:p>
    <w:p w14:paraId="51015BC8" w14:textId="2559AC41" w:rsidR="00AE3019" w:rsidRPr="002706B8" w:rsidRDefault="00AE3019" w:rsidP="002706B8">
      <w:pPr>
        <w:spacing w:after="0" w:line="240" w:lineRule="auto"/>
        <w:jc w:val="both"/>
        <w:rPr>
          <w:rFonts w:ascii="Times New Roman" w:hAnsi="Times New Roman"/>
          <w:sz w:val="18"/>
          <w:szCs w:val="1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706B8">
        <w:rPr>
          <w:rFonts w:ascii="Times New Roman" w:hAnsi="Times New Roman"/>
          <w:b/>
          <w:sz w:val="18"/>
          <w:szCs w:val="18"/>
          <w:lang w:eastAsia="it-IT"/>
        </w:rPr>
        <w:t>- Allegato 2.4.:</w:t>
      </w:r>
      <w:r w:rsidRPr="002706B8">
        <w:rPr>
          <w:rFonts w:ascii="Times New Roman" w:hAnsi="Times New Roman"/>
          <w:b/>
          <w:color w:val="0070C0"/>
          <w:sz w:val="36"/>
          <w:szCs w:val="36"/>
        </w:rPr>
        <w:t xml:space="preserve"> </w:t>
      </w:r>
      <w:r w:rsidRPr="002706B8">
        <w:rPr>
          <w:rFonts w:ascii="Times New Roman" w:hAnsi="Times New Roman"/>
          <w:sz w:val="18"/>
          <w:szCs w:val="18"/>
        </w:rPr>
        <w:t>Regole di comportamento per i dipendenti.</w:t>
      </w:r>
    </w:p>
    <w:p w14:paraId="3E7A7271" w14:textId="3A4698E1" w:rsidR="00AE3019" w:rsidRPr="00B10B8E" w:rsidRDefault="00AE3019" w:rsidP="00B10B8E">
      <w:pPr>
        <w:pStyle w:val="Testonotaapidipagina"/>
        <w:spacing w:after="0" w:line="240" w:lineRule="auto"/>
        <w:jc w:val="both"/>
        <w:rPr>
          <w:rFonts w:ascii="Times New Roman" w:hAnsi="Times New Roman"/>
          <w:sz w:val="18"/>
          <w:szCs w:val="18"/>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2796"/>
      <w:gridCol w:w="6275"/>
    </w:tblGrid>
    <w:tr w:rsidR="00AE3019" w14:paraId="2F2ADB16" w14:textId="77777777" w:rsidTr="00AE7DFF">
      <w:tc>
        <w:tcPr>
          <w:tcW w:w="1691" w:type="dxa"/>
          <w:shd w:val="clear" w:color="auto" w:fill="auto"/>
        </w:tcPr>
        <w:p w14:paraId="324A2B07" w14:textId="75F5484D" w:rsidR="00AE3019" w:rsidRDefault="00AE3019" w:rsidP="0092096A">
          <w:pPr>
            <w:pStyle w:val="Intestazione"/>
            <w:spacing w:after="0"/>
            <w:rPr>
              <w:noProof/>
              <w:lang w:eastAsia="it-IT"/>
            </w:rPr>
          </w:pPr>
          <w:r>
            <w:rPr>
              <w:noProof/>
              <w:lang w:val="it-IT" w:eastAsia="it-IT"/>
            </w:rPr>
            <w:drawing>
              <wp:inline distT="0" distB="0" distL="0" distR="0" wp14:anchorId="0B0DF2D6" wp14:editId="0946A359">
                <wp:extent cx="1631950" cy="971550"/>
                <wp:effectExtent l="0" t="0" r="6350" b="0"/>
                <wp:docPr id="12" name="Immagine 12" descr="LOGO MULTISERVI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MULTISERVIZ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971550"/>
                        </a:xfrm>
                        <a:prstGeom prst="rect">
                          <a:avLst/>
                        </a:prstGeom>
                        <a:noFill/>
                        <a:ln>
                          <a:noFill/>
                        </a:ln>
                      </pic:spPr>
                    </pic:pic>
                  </a:graphicData>
                </a:graphic>
              </wp:inline>
            </w:drawing>
          </w:r>
        </w:p>
      </w:tc>
      <w:tc>
        <w:tcPr>
          <w:tcW w:w="11884" w:type="dxa"/>
          <w:shd w:val="clear" w:color="auto" w:fill="auto"/>
          <w:vAlign w:val="center"/>
        </w:tcPr>
        <w:p w14:paraId="62616982" w14:textId="77777777" w:rsidR="00AE3019" w:rsidRPr="00734B5A" w:rsidRDefault="00AE3019" w:rsidP="0092096A">
          <w:pPr>
            <w:spacing w:after="0" w:line="240" w:lineRule="auto"/>
            <w:jc w:val="center"/>
            <w:rPr>
              <w:rFonts w:ascii="Times New Roman" w:hAnsi="Times New Roman"/>
              <w:sz w:val="16"/>
              <w:szCs w:val="16"/>
            </w:rPr>
          </w:pPr>
          <w:r w:rsidRPr="00734B5A">
            <w:rPr>
              <w:rFonts w:ascii="Times New Roman" w:hAnsi="Times New Roman"/>
              <w:sz w:val="16"/>
              <w:szCs w:val="16"/>
            </w:rPr>
            <w:t>Modello di Organizzazione, Gestione e Controllo</w:t>
          </w:r>
        </w:p>
        <w:p w14:paraId="4E198262" w14:textId="77777777" w:rsidR="00AE3019" w:rsidRPr="00734B5A" w:rsidRDefault="00AE3019" w:rsidP="00CB0CCE">
          <w:pPr>
            <w:pStyle w:val="Intestazione"/>
            <w:spacing w:after="0" w:line="240" w:lineRule="auto"/>
            <w:jc w:val="center"/>
            <w:rPr>
              <w:rFonts w:ascii="Times New Roman" w:hAnsi="Times New Roman"/>
              <w:sz w:val="16"/>
              <w:szCs w:val="16"/>
              <w:lang w:val="it-IT"/>
            </w:rPr>
          </w:pPr>
          <w:r w:rsidRPr="00734B5A">
            <w:rPr>
              <w:rFonts w:ascii="Times New Roman" w:hAnsi="Times New Roman"/>
              <w:sz w:val="16"/>
              <w:szCs w:val="16"/>
              <w:lang w:val="it-IT"/>
            </w:rPr>
            <w:t>Parte speciale</w:t>
          </w:r>
        </w:p>
        <w:p w14:paraId="43ABC17E" w14:textId="305353C6" w:rsidR="00AE3019" w:rsidRPr="0092096A" w:rsidRDefault="00AE3019" w:rsidP="00FC0F82">
          <w:pPr>
            <w:pStyle w:val="Intestazione"/>
            <w:spacing w:after="0" w:line="240" w:lineRule="auto"/>
            <w:jc w:val="center"/>
            <w:rPr>
              <w:noProof/>
              <w:sz w:val="24"/>
              <w:szCs w:val="24"/>
              <w:lang w:eastAsia="it-IT"/>
            </w:rPr>
          </w:pPr>
          <w:r w:rsidRPr="00734B5A">
            <w:rPr>
              <w:rFonts w:ascii="Times New Roman" w:hAnsi="Times New Roman"/>
              <w:sz w:val="16"/>
              <w:szCs w:val="16"/>
              <w:lang w:val="it-IT"/>
            </w:rPr>
            <w:t>PTPC</w:t>
          </w:r>
          <w:r>
            <w:rPr>
              <w:rFonts w:ascii="Times New Roman" w:hAnsi="Times New Roman"/>
              <w:sz w:val="16"/>
              <w:szCs w:val="16"/>
              <w:lang w:val="it-IT"/>
            </w:rPr>
            <w:t>T</w:t>
          </w:r>
          <w:r w:rsidRPr="00734B5A">
            <w:rPr>
              <w:rFonts w:ascii="Times New Roman" w:hAnsi="Times New Roman"/>
              <w:sz w:val="16"/>
              <w:szCs w:val="16"/>
              <w:lang w:val="it-IT"/>
            </w:rPr>
            <w:t xml:space="preserve"> 201</w:t>
          </w:r>
          <w:r>
            <w:rPr>
              <w:rFonts w:ascii="Times New Roman" w:hAnsi="Times New Roman"/>
              <w:sz w:val="16"/>
              <w:szCs w:val="16"/>
              <w:lang w:val="it-IT"/>
            </w:rPr>
            <w:t>9/2021</w:t>
          </w:r>
        </w:p>
      </w:tc>
    </w:tr>
  </w:tbl>
  <w:p w14:paraId="1A23AC71" w14:textId="77777777" w:rsidR="00AE3019" w:rsidRPr="005A225C" w:rsidRDefault="00AE3019" w:rsidP="005A225C">
    <w:pPr>
      <w:pStyle w:val="Intestazione"/>
      <w:spacing w:after="0"/>
      <w:jc w:val="center"/>
      <w:rPr>
        <w:sz w:val="2"/>
        <w:szCs w:val="2"/>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AF"/>
    <w:multiLevelType w:val="hybridMultilevel"/>
    <w:tmpl w:val="BFB63C7A"/>
    <w:lvl w:ilvl="0" w:tplc="04100001">
      <w:start w:val="1"/>
      <w:numFmt w:val="bullet"/>
      <w:lvlText w:val=""/>
      <w:lvlJc w:val="left"/>
      <w:pPr>
        <w:ind w:left="774" w:hanging="360"/>
      </w:pPr>
      <w:rPr>
        <w:rFonts w:ascii="Symbol" w:hAnsi="Symbol" w:hint="default"/>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1" w15:restartNumberingAfterBreak="0">
    <w:nsid w:val="01096791"/>
    <w:multiLevelType w:val="hybridMultilevel"/>
    <w:tmpl w:val="84ECF2B0"/>
    <w:lvl w:ilvl="0" w:tplc="3110B4A0">
      <w:start w:val="1"/>
      <w:numFmt w:val="bullet"/>
      <w:lvlText w:val="▪"/>
      <w:lvlJc w:val="left"/>
      <w:pPr>
        <w:ind w:left="720" w:hanging="360"/>
      </w:pPr>
      <w:rPr>
        <w:rFonts w:ascii="Courier New" w:hAnsi="Courier New" w:hint="default"/>
        <w:color w:val="ED7D31" w:themeColor="accent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60270A"/>
    <w:multiLevelType w:val="hybridMultilevel"/>
    <w:tmpl w:val="44943746"/>
    <w:lvl w:ilvl="0" w:tplc="A0A42F46">
      <w:start w:val="1"/>
      <w:numFmt w:val="bullet"/>
      <w:lvlText w:val="-"/>
      <w:lvlJc w:val="left"/>
      <w:pPr>
        <w:ind w:left="720" w:hanging="360"/>
      </w:pPr>
      <w:rPr>
        <w:rFonts w:ascii="Times New Roman" w:hAnsi="Times New Roman" w:hint="default"/>
        <w:color w:val="032B3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46B234F"/>
    <w:multiLevelType w:val="hybridMultilevel"/>
    <w:tmpl w:val="B8343918"/>
    <w:lvl w:ilvl="0" w:tplc="3110B4A0">
      <w:start w:val="1"/>
      <w:numFmt w:val="bullet"/>
      <w:lvlText w:val="▪"/>
      <w:lvlJc w:val="left"/>
      <w:pPr>
        <w:ind w:left="720" w:hanging="360"/>
      </w:pPr>
      <w:rPr>
        <w:rFonts w:ascii="Courier New" w:hAnsi="Courier New" w:hint="default"/>
        <w:color w:val="ED7D31" w:themeColor="accent2"/>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6C56E7D"/>
    <w:multiLevelType w:val="hybridMultilevel"/>
    <w:tmpl w:val="FF3666EE"/>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AFD4039"/>
    <w:multiLevelType w:val="hybridMultilevel"/>
    <w:tmpl w:val="34DC53B8"/>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10A36A7E"/>
    <w:multiLevelType w:val="hybridMultilevel"/>
    <w:tmpl w:val="4BFC5D96"/>
    <w:lvl w:ilvl="0" w:tplc="3110B4A0">
      <w:start w:val="1"/>
      <w:numFmt w:val="bullet"/>
      <w:lvlText w:val="▪"/>
      <w:lvlJc w:val="left"/>
      <w:pPr>
        <w:ind w:left="720" w:hanging="360"/>
      </w:pPr>
      <w:rPr>
        <w:rFonts w:ascii="Courier New" w:hAnsi="Courier New" w:hint="default"/>
        <w:color w:val="ED7D31" w:themeColor="accent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49F5B3D"/>
    <w:multiLevelType w:val="hybridMultilevel"/>
    <w:tmpl w:val="E7D6A084"/>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68D6621"/>
    <w:multiLevelType w:val="hybridMultilevel"/>
    <w:tmpl w:val="F744A01E"/>
    <w:lvl w:ilvl="0" w:tplc="A0A42F46">
      <w:start w:val="1"/>
      <w:numFmt w:val="bullet"/>
      <w:lvlText w:val="-"/>
      <w:lvlJc w:val="left"/>
      <w:pPr>
        <w:ind w:left="720" w:hanging="360"/>
      </w:pPr>
      <w:rPr>
        <w:rFonts w:ascii="Times New Roman" w:hAnsi="Times New Roman" w:hint="default"/>
        <w:color w:val="ED7D31" w:themeColor="accent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E973AF5"/>
    <w:multiLevelType w:val="hybridMultilevel"/>
    <w:tmpl w:val="89784B7E"/>
    <w:lvl w:ilvl="0" w:tplc="6E30B4A0">
      <w:start w:val="1"/>
      <w:numFmt w:val="decimal"/>
      <w:pStyle w:val="Titolo3"/>
      <w:lvlText w:val="1.%1."/>
      <w:lvlJc w:val="left"/>
      <w:pPr>
        <w:ind w:left="501" w:hanging="360"/>
      </w:pPr>
      <w:rPr>
        <w:rFonts w:hint="default"/>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10" w15:restartNumberingAfterBreak="0">
    <w:nsid w:val="25A60CA2"/>
    <w:multiLevelType w:val="hybridMultilevel"/>
    <w:tmpl w:val="644C3F3E"/>
    <w:lvl w:ilvl="0" w:tplc="2862B39A">
      <w:numFmt w:val="bullet"/>
      <w:lvlText w:val="-"/>
      <w:lvlJc w:val="left"/>
      <w:pPr>
        <w:ind w:left="720" w:hanging="360"/>
      </w:pPr>
      <w:rPr>
        <w:rFonts w:ascii="Times New Roman" w:eastAsia="Calibri"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6B495F"/>
    <w:multiLevelType w:val="hybridMultilevel"/>
    <w:tmpl w:val="F3C433C2"/>
    <w:lvl w:ilvl="0" w:tplc="3110B4A0">
      <w:start w:val="1"/>
      <w:numFmt w:val="bullet"/>
      <w:lvlText w:val="▪"/>
      <w:lvlJc w:val="left"/>
      <w:pPr>
        <w:ind w:left="720" w:hanging="360"/>
      </w:pPr>
      <w:rPr>
        <w:rFonts w:ascii="Courier New" w:hAnsi="Courier New" w:hint="default"/>
        <w:color w:val="ED7D31" w:themeColor="accent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9A5665F"/>
    <w:multiLevelType w:val="hybridMultilevel"/>
    <w:tmpl w:val="3918BB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D8806B3"/>
    <w:multiLevelType w:val="hybridMultilevel"/>
    <w:tmpl w:val="AAC844B6"/>
    <w:lvl w:ilvl="0" w:tplc="3110B4A0">
      <w:start w:val="1"/>
      <w:numFmt w:val="bullet"/>
      <w:lvlText w:val="▪"/>
      <w:lvlJc w:val="left"/>
      <w:pPr>
        <w:ind w:left="720" w:hanging="360"/>
      </w:pPr>
      <w:rPr>
        <w:rFonts w:ascii="Courier New" w:hAnsi="Courier New" w:hint="default"/>
        <w:color w:val="ED7D31" w:themeColor="accent2"/>
      </w:rPr>
    </w:lvl>
    <w:lvl w:ilvl="1" w:tplc="B5421F02">
      <w:start w:val="1"/>
      <w:numFmt w:val="bullet"/>
      <w:lvlText w:val=""/>
      <w:lvlJc w:val="left"/>
      <w:pPr>
        <w:ind w:left="1440" w:hanging="360"/>
      </w:pPr>
      <w:rPr>
        <w:rFonts w:ascii="Wingdings" w:hAnsi="Wingdings" w:hint="default"/>
        <w:color w:val="032B3A"/>
      </w:rPr>
    </w:lvl>
    <w:lvl w:ilvl="2" w:tplc="B5421F02">
      <w:start w:val="1"/>
      <w:numFmt w:val="bullet"/>
      <w:lvlText w:val=""/>
      <w:lvlJc w:val="left"/>
      <w:pPr>
        <w:ind w:left="2160" w:hanging="360"/>
      </w:pPr>
      <w:rPr>
        <w:rFonts w:ascii="Wingdings" w:hAnsi="Wingdings" w:hint="default"/>
        <w:color w:val="032B3A"/>
      </w:rPr>
    </w:lvl>
    <w:lvl w:ilvl="3" w:tplc="B5421F02">
      <w:start w:val="1"/>
      <w:numFmt w:val="bullet"/>
      <w:lvlText w:val=""/>
      <w:lvlJc w:val="left"/>
      <w:pPr>
        <w:ind w:left="2880" w:hanging="360"/>
      </w:pPr>
      <w:rPr>
        <w:rFonts w:ascii="Wingdings" w:hAnsi="Wingdings" w:hint="default"/>
        <w:color w:val="032B3A"/>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D90276E"/>
    <w:multiLevelType w:val="hybridMultilevel"/>
    <w:tmpl w:val="9C68C290"/>
    <w:lvl w:ilvl="0" w:tplc="04100001">
      <w:start w:val="1"/>
      <w:numFmt w:val="bullet"/>
      <w:lvlText w:val=""/>
      <w:lvlJc w:val="left"/>
      <w:pPr>
        <w:ind w:left="644"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7B621E"/>
    <w:multiLevelType w:val="hybridMultilevel"/>
    <w:tmpl w:val="26C81DC2"/>
    <w:lvl w:ilvl="0" w:tplc="04100001">
      <w:start w:val="1"/>
      <w:numFmt w:val="bullet"/>
      <w:lvlText w:val=""/>
      <w:lvlJc w:val="left"/>
      <w:pPr>
        <w:ind w:left="720" w:hanging="360"/>
      </w:pPr>
      <w:rPr>
        <w:rFonts w:ascii="Symbol" w:hAnsi="Symbol" w:hint="default"/>
        <w:color w:val="ED7D31" w:themeColor="accent2"/>
      </w:rPr>
    </w:lvl>
    <w:lvl w:ilvl="1" w:tplc="13C0EE68">
      <w:start w:val="3"/>
      <w:numFmt w:val="bullet"/>
      <w:lvlText w:val="-"/>
      <w:lvlJc w:val="left"/>
      <w:pPr>
        <w:ind w:left="1440" w:hanging="360"/>
      </w:pPr>
      <w:rPr>
        <w:rFonts w:ascii="Calibri" w:eastAsia="Calibri" w:hAnsi="Calibri" w:cs="Times New Roman"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04209ED"/>
    <w:multiLevelType w:val="hybridMultilevel"/>
    <w:tmpl w:val="3154BAEA"/>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0C82573"/>
    <w:multiLevelType w:val="hybridMultilevel"/>
    <w:tmpl w:val="7974EC04"/>
    <w:lvl w:ilvl="0" w:tplc="04100017">
      <w:start w:val="9"/>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12B7041"/>
    <w:multiLevelType w:val="hybridMultilevel"/>
    <w:tmpl w:val="DB76CACC"/>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E712FF"/>
    <w:multiLevelType w:val="hybridMultilevel"/>
    <w:tmpl w:val="F28687A6"/>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360F21C2"/>
    <w:multiLevelType w:val="hybridMultilevel"/>
    <w:tmpl w:val="285826A0"/>
    <w:lvl w:ilvl="0" w:tplc="A0A42F46">
      <w:start w:val="1"/>
      <w:numFmt w:val="bullet"/>
      <w:lvlText w:val="-"/>
      <w:lvlJc w:val="left"/>
      <w:pPr>
        <w:tabs>
          <w:tab w:val="num" w:pos="720"/>
        </w:tabs>
        <w:ind w:left="720" w:hanging="360"/>
      </w:pPr>
      <w:rPr>
        <w:rFonts w:ascii="Times New Roman" w:hAnsi="Times New Roman" w:hint="default"/>
      </w:rPr>
    </w:lvl>
    <w:lvl w:ilvl="1" w:tplc="14901D16" w:tentative="1">
      <w:start w:val="1"/>
      <w:numFmt w:val="bullet"/>
      <w:lvlText w:val="-"/>
      <w:lvlJc w:val="left"/>
      <w:pPr>
        <w:tabs>
          <w:tab w:val="num" w:pos="1440"/>
        </w:tabs>
        <w:ind w:left="1440" w:hanging="360"/>
      </w:pPr>
      <w:rPr>
        <w:rFonts w:ascii="Times New Roman" w:hAnsi="Times New Roman" w:hint="default"/>
      </w:rPr>
    </w:lvl>
    <w:lvl w:ilvl="2" w:tplc="17E02E74" w:tentative="1">
      <w:start w:val="1"/>
      <w:numFmt w:val="bullet"/>
      <w:lvlText w:val="-"/>
      <w:lvlJc w:val="left"/>
      <w:pPr>
        <w:tabs>
          <w:tab w:val="num" w:pos="2160"/>
        </w:tabs>
        <w:ind w:left="2160" w:hanging="360"/>
      </w:pPr>
      <w:rPr>
        <w:rFonts w:ascii="Times New Roman" w:hAnsi="Times New Roman" w:hint="default"/>
      </w:rPr>
    </w:lvl>
    <w:lvl w:ilvl="3" w:tplc="73D64D78" w:tentative="1">
      <w:start w:val="1"/>
      <w:numFmt w:val="bullet"/>
      <w:lvlText w:val="-"/>
      <w:lvlJc w:val="left"/>
      <w:pPr>
        <w:tabs>
          <w:tab w:val="num" w:pos="2880"/>
        </w:tabs>
        <w:ind w:left="2880" w:hanging="360"/>
      </w:pPr>
      <w:rPr>
        <w:rFonts w:ascii="Times New Roman" w:hAnsi="Times New Roman" w:hint="default"/>
      </w:rPr>
    </w:lvl>
    <w:lvl w:ilvl="4" w:tplc="44BEBF0E" w:tentative="1">
      <w:start w:val="1"/>
      <w:numFmt w:val="bullet"/>
      <w:lvlText w:val="-"/>
      <w:lvlJc w:val="left"/>
      <w:pPr>
        <w:tabs>
          <w:tab w:val="num" w:pos="3600"/>
        </w:tabs>
        <w:ind w:left="3600" w:hanging="360"/>
      </w:pPr>
      <w:rPr>
        <w:rFonts w:ascii="Times New Roman" w:hAnsi="Times New Roman" w:hint="default"/>
      </w:rPr>
    </w:lvl>
    <w:lvl w:ilvl="5" w:tplc="2188D380" w:tentative="1">
      <w:start w:val="1"/>
      <w:numFmt w:val="bullet"/>
      <w:lvlText w:val="-"/>
      <w:lvlJc w:val="left"/>
      <w:pPr>
        <w:tabs>
          <w:tab w:val="num" w:pos="4320"/>
        </w:tabs>
        <w:ind w:left="4320" w:hanging="360"/>
      </w:pPr>
      <w:rPr>
        <w:rFonts w:ascii="Times New Roman" w:hAnsi="Times New Roman" w:hint="default"/>
      </w:rPr>
    </w:lvl>
    <w:lvl w:ilvl="6" w:tplc="79BA3F3E" w:tentative="1">
      <w:start w:val="1"/>
      <w:numFmt w:val="bullet"/>
      <w:lvlText w:val="-"/>
      <w:lvlJc w:val="left"/>
      <w:pPr>
        <w:tabs>
          <w:tab w:val="num" w:pos="5040"/>
        </w:tabs>
        <w:ind w:left="5040" w:hanging="360"/>
      </w:pPr>
      <w:rPr>
        <w:rFonts w:ascii="Times New Roman" w:hAnsi="Times New Roman" w:hint="default"/>
      </w:rPr>
    </w:lvl>
    <w:lvl w:ilvl="7" w:tplc="976C9E52" w:tentative="1">
      <w:start w:val="1"/>
      <w:numFmt w:val="bullet"/>
      <w:lvlText w:val="-"/>
      <w:lvlJc w:val="left"/>
      <w:pPr>
        <w:tabs>
          <w:tab w:val="num" w:pos="5760"/>
        </w:tabs>
        <w:ind w:left="5760" w:hanging="360"/>
      </w:pPr>
      <w:rPr>
        <w:rFonts w:ascii="Times New Roman" w:hAnsi="Times New Roman" w:hint="default"/>
      </w:rPr>
    </w:lvl>
    <w:lvl w:ilvl="8" w:tplc="21529414"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6285676"/>
    <w:multiLevelType w:val="hybridMultilevel"/>
    <w:tmpl w:val="281E7546"/>
    <w:lvl w:ilvl="0" w:tplc="A0A42F46">
      <w:start w:val="1"/>
      <w:numFmt w:val="bullet"/>
      <w:lvlText w:val="-"/>
      <w:lvlJc w:val="left"/>
      <w:pPr>
        <w:ind w:left="720" w:hanging="360"/>
      </w:pPr>
      <w:rPr>
        <w:rFonts w:ascii="Times New Roman" w:hAnsi="Times New Roman" w:hint="default"/>
        <w:color w:val="ED7D31" w:themeColor="accent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B8E6DCF"/>
    <w:multiLevelType w:val="multilevel"/>
    <w:tmpl w:val="EFD20776"/>
    <w:lvl w:ilvl="0">
      <w:start w:val="1"/>
      <w:numFmt w:val="decimal"/>
      <w:pStyle w:val="Titolo2"/>
      <w:lvlText w:val="%1."/>
      <w:lvlJc w:val="left"/>
      <w:pPr>
        <w:ind w:left="1068" w:hanging="360"/>
      </w:pPr>
      <w:rPr>
        <w:rFonts w:hint="default"/>
        <w:color w:val="0070C0"/>
      </w:rPr>
    </w:lvl>
    <w:lvl w:ilvl="1">
      <w:start w:val="1"/>
      <w:numFmt w:val="decimal"/>
      <w:isLgl/>
      <w:lvlText w:val="%1.%2"/>
      <w:lvlJc w:val="left"/>
      <w:pPr>
        <w:ind w:left="31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3C4F62A5"/>
    <w:multiLevelType w:val="hybridMultilevel"/>
    <w:tmpl w:val="42E269AA"/>
    <w:lvl w:ilvl="0" w:tplc="13C0EE68">
      <w:start w:val="3"/>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4" w15:restartNumberingAfterBreak="0">
    <w:nsid w:val="3DB03A39"/>
    <w:multiLevelType w:val="hybridMultilevel"/>
    <w:tmpl w:val="A69052A6"/>
    <w:lvl w:ilvl="0" w:tplc="AFD02ECA">
      <w:numFmt w:val="bullet"/>
      <w:lvlText w:val="•"/>
      <w:lvlJc w:val="left"/>
      <w:pPr>
        <w:ind w:left="360" w:hanging="360"/>
      </w:pPr>
      <w:rPr>
        <w:rFonts w:ascii="Times New Roman" w:eastAsia="Calibr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3DDE1CCE"/>
    <w:multiLevelType w:val="hybridMultilevel"/>
    <w:tmpl w:val="86087EE8"/>
    <w:lvl w:ilvl="0" w:tplc="821622EA">
      <w:start w:val="1"/>
      <w:numFmt w:val="bullet"/>
      <w:lvlText w:val="▪"/>
      <w:lvlJc w:val="left"/>
      <w:pPr>
        <w:ind w:left="720" w:hanging="360"/>
      </w:pPr>
      <w:rPr>
        <w:rFonts w:ascii="Courier New" w:hAnsi="Courier New" w:hint="default"/>
        <w:color w:val="8817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EF16C68"/>
    <w:multiLevelType w:val="hybridMultilevel"/>
    <w:tmpl w:val="7CD6AB22"/>
    <w:lvl w:ilvl="0" w:tplc="352E7C28">
      <w:numFmt w:val="bullet"/>
      <w:lvlText w:val="-"/>
      <w:lvlJc w:val="left"/>
      <w:pPr>
        <w:ind w:left="720" w:hanging="360"/>
      </w:pPr>
      <w:rPr>
        <w:rFonts w:ascii="Verdana" w:eastAsia="Calibri" w:hAnsi="Verdana"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B3C7321"/>
    <w:multiLevelType w:val="hybridMultilevel"/>
    <w:tmpl w:val="05E68A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B7A58B6"/>
    <w:multiLevelType w:val="hybridMultilevel"/>
    <w:tmpl w:val="F5F8DEF4"/>
    <w:lvl w:ilvl="0" w:tplc="04100017">
      <w:start w:val="1"/>
      <w:numFmt w:val="lowerLetter"/>
      <w:lvlText w:val="%1)"/>
      <w:lvlJc w:val="left"/>
      <w:pPr>
        <w:ind w:left="720" w:hanging="360"/>
      </w:pPr>
      <w:rPr>
        <w:rFonts w:hint="default"/>
      </w:rPr>
    </w:lvl>
    <w:lvl w:ilvl="1" w:tplc="AFD02ECA">
      <w:numFmt w:val="bullet"/>
      <w:lvlText w:val="•"/>
      <w:lvlJc w:val="left"/>
      <w:pPr>
        <w:ind w:left="1440" w:hanging="360"/>
      </w:pPr>
      <w:rPr>
        <w:rFonts w:ascii="Times New Roman" w:eastAsia="Calibri"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C8418BA"/>
    <w:multiLevelType w:val="hybridMultilevel"/>
    <w:tmpl w:val="60BEC9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C5A3045"/>
    <w:multiLevelType w:val="hybridMultilevel"/>
    <w:tmpl w:val="9F96BD68"/>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F631EBD"/>
    <w:multiLevelType w:val="hybridMultilevel"/>
    <w:tmpl w:val="5FE08D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5F9223ED"/>
    <w:multiLevelType w:val="hybridMultilevel"/>
    <w:tmpl w:val="9C04AC08"/>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2830D6B"/>
    <w:multiLevelType w:val="hybridMultilevel"/>
    <w:tmpl w:val="73A01B7E"/>
    <w:lvl w:ilvl="0" w:tplc="A0A42F46">
      <w:start w:val="1"/>
      <w:numFmt w:val="bullet"/>
      <w:lvlText w:val="-"/>
      <w:lvlJc w:val="left"/>
      <w:pPr>
        <w:ind w:left="720" w:hanging="360"/>
      </w:pPr>
      <w:rPr>
        <w:rFonts w:ascii="Times New Roman" w:hAnsi="Times New Roman" w:hint="default"/>
        <w:color w:val="ED7D31" w:themeColor="accent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98602EA"/>
    <w:multiLevelType w:val="hybridMultilevel"/>
    <w:tmpl w:val="A03A5A60"/>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A341BA9"/>
    <w:multiLevelType w:val="hybridMultilevel"/>
    <w:tmpl w:val="94702B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B020C27"/>
    <w:multiLevelType w:val="hybridMultilevel"/>
    <w:tmpl w:val="D0CA5C50"/>
    <w:lvl w:ilvl="0" w:tplc="A0A42F46">
      <w:start w:val="1"/>
      <w:numFmt w:val="bullet"/>
      <w:lvlText w:val="-"/>
      <w:lvlJc w:val="left"/>
      <w:pPr>
        <w:ind w:left="644" w:hanging="360"/>
      </w:pPr>
      <w:rPr>
        <w:rFonts w:ascii="Times New Roman" w:hAnsi="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7" w15:restartNumberingAfterBreak="0">
    <w:nsid w:val="6C8D2E81"/>
    <w:multiLevelType w:val="hybridMultilevel"/>
    <w:tmpl w:val="8338A478"/>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6E64402F"/>
    <w:multiLevelType w:val="hybridMultilevel"/>
    <w:tmpl w:val="F0326CB6"/>
    <w:lvl w:ilvl="0" w:tplc="A0A42F46">
      <w:start w:val="1"/>
      <w:numFmt w:val="bullet"/>
      <w:lvlText w:val="-"/>
      <w:lvlJc w:val="left"/>
      <w:pPr>
        <w:ind w:left="1080" w:hanging="360"/>
      </w:pPr>
      <w:rPr>
        <w:rFonts w:ascii="Times New Roman" w:hAnsi="Times New Roman" w:hint="default"/>
        <w:color w:val="ED7D31" w:themeColor="accent2"/>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15:restartNumberingAfterBreak="0">
    <w:nsid w:val="6F8507DB"/>
    <w:multiLevelType w:val="hybridMultilevel"/>
    <w:tmpl w:val="64B84C32"/>
    <w:lvl w:ilvl="0" w:tplc="A0A42F46">
      <w:start w:val="1"/>
      <w:numFmt w:val="bullet"/>
      <w:lvlText w:val="-"/>
      <w:lvlJc w:val="left"/>
      <w:pPr>
        <w:ind w:left="720" w:hanging="360"/>
      </w:pPr>
      <w:rPr>
        <w:rFonts w:ascii="Times New Roman" w:hAnsi="Times New Roman" w:hint="default"/>
        <w:color w:val="032B3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1C26BF8"/>
    <w:multiLevelType w:val="hybridMultilevel"/>
    <w:tmpl w:val="8F8A21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4117E62"/>
    <w:multiLevelType w:val="hybridMultilevel"/>
    <w:tmpl w:val="9CF4E1BC"/>
    <w:lvl w:ilvl="0" w:tplc="A0A42F46">
      <w:start w:val="1"/>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74245EB1"/>
    <w:multiLevelType w:val="multilevel"/>
    <w:tmpl w:val="F18E6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356FB9"/>
    <w:multiLevelType w:val="hybridMultilevel"/>
    <w:tmpl w:val="CC380602"/>
    <w:lvl w:ilvl="0" w:tplc="A0A42F46">
      <w:start w:val="1"/>
      <w:numFmt w:val="bullet"/>
      <w:lvlText w:val="-"/>
      <w:lvlJc w:val="left"/>
      <w:pPr>
        <w:ind w:left="644" w:hanging="360"/>
      </w:pPr>
      <w:rPr>
        <w:rFonts w:ascii="Times New Roman" w:hAnsi="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44" w15:restartNumberingAfterBreak="0">
    <w:nsid w:val="789E0EC9"/>
    <w:multiLevelType w:val="hybridMultilevel"/>
    <w:tmpl w:val="9BAC7FC2"/>
    <w:lvl w:ilvl="0" w:tplc="A0A42F46">
      <w:start w:val="1"/>
      <w:numFmt w:val="bullet"/>
      <w:lvlText w:val="-"/>
      <w:lvlJc w:val="left"/>
      <w:pPr>
        <w:ind w:left="1004" w:hanging="360"/>
      </w:pPr>
      <w:rPr>
        <w:rFonts w:ascii="Times New Roman" w:hAnsi="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5" w15:restartNumberingAfterBreak="0">
    <w:nsid w:val="7B763114"/>
    <w:multiLevelType w:val="hybridMultilevel"/>
    <w:tmpl w:val="ED3EFC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E3E6BAC"/>
    <w:multiLevelType w:val="multilevel"/>
    <w:tmpl w:val="944EEAEA"/>
    <w:lvl w:ilvl="0">
      <w:start w:val="1"/>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D13E02"/>
    <w:multiLevelType w:val="hybridMultilevel"/>
    <w:tmpl w:val="CD8AA4F6"/>
    <w:lvl w:ilvl="0" w:tplc="A0A42F46">
      <w:start w:val="1"/>
      <w:numFmt w:val="bullet"/>
      <w:lvlText w:val="-"/>
      <w:lvlJc w:val="left"/>
      <w:pPr>
        <w:ind w:left="720" w:hanging="360"/>
      </w:pPr>
      <w:rPr>
        <w:rFonts w:ascii="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26"/>
  </w:num>
  <w:num w:numId="3">
    <w:abstractNumId w:val="0"/>
  </w:num>
  <w:num w:numId="4">
    <w:abstractNumId w:val="46"/>
  </w:num>
  <w:num w:numId="5">
    <w:abstractNumId w:val="10"/>
  </w:num>
  <w:num w:numId="6">
    <w:abstractNumId w:val="12"/>
  </w:num>
  <w:num w:numId="7">
    <w:abstractNumId w:val="40"/>
  </w:num>
  <w:num w:numId="8">
    <w:abstractNumId w:val="34"/>
  </w:num>
  <w:num w:numId="9">
    <w:abstractNumId w:val="23"/>
  </w:num>
  <w:num w:numId="10">
    <w:abstractNumId w:val="30"/>
  </w:num>
  <w:num w:numId="11">
    <w:abstractNumId w:val="16"/>
  </w:num>
  <w:num w:numId="12">
    <w:abstractNumId w:val="45"/>
  </w:num>
  <w:num w:numId="13">
    <w:abstractNumId w:val="27"/>
  </w:num>
  <w:num w:numId="14">
    <w:abstractNumId w:val="28"/>
  </w:num>
  <w:num w:numId="15">
    <w:abstractNumId w:val="42"/>
  </w:num>
  <w:num w:numId="16">
    <w:abstractNumId w:val="13"/>
  </w:num>
  <w:num w:numId="17">
    <w:abstractNumId w:val="3"/>
  </w:num>
  <w:num w:numId="18">
    <w:abstractNumId w:val="5"/>
  </w:num>
  <w:num w:numId="19">
    <w:abstractNumId w:val="6"/>
  </w:num>
  <w:num w:numId="20">
    <w:abstractNumId w:val="11"/>
  </w:num>
  <w:num w:numId="21">
    <w:abstractNumId w:val="21"/>
  </w:num>
  <w:num w:numId="22">
    <w:abstractNumId w:val="8"/>
  </w:num>
  <w:num w:numId="23">
    <w:abstractNumId w:val="1"/>
  </w:num>
  <w:num w:numId="24">
    <w:abstractNumId w:val="25"/>
  </w:num>
  <w:num w:numId="25">
    <w:abstractNumId w:val="15"/>
  </w:num>
  <w:num w:numId="26">
    <w:abstractNumId w:val="18"/>
  </w:num>
  <w:num w:numId="27">
    <w:abstractNumId w:val="33"/>
  </w:num>
  <w:num w:numId="28">
    <w:abstractNumId w:val="38"/>
  </w:num>
  <w:num w:numId="29">
    <w:abstractNumId w:val="44"/>
  </w:num>
  <w:num w:numId="30">
    <w:abstractNumId w:val="14"/>
  </w:num>
  <w:num w:numId="31">
    <w:abstractNumId w:val="22"/>
  </w:num>
  <w:num w:numId="32">
    <w:abstractNumId w:val="22"/>
    <w:lvlOverride w:ilvl="0">
      <w:startOverride w:val="1"/>
    </w:lvlOverride>
  </w:num>
  <w:num w:numId="33">
    <w:abstractNumId w:val="9"/>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32"/>
  </w:num>
  <w:num w:numId="38">
    <w:abstractNumId w:val="29"/>
  </w:num>
  <w:num w:numId="39">
    <w:abstractNumId w:val="2"/>
  </w:num>
  <w:num w:numId="40">
    <w:abstractNumId w:val="39"/>
  </w:num>
  <w:num w:numId="41">
    <w:abstractNumId w:val="17"/>
  </w:num>
  <w:num w:numId="42">
    <w:abstractNumId w:val="47"/>
  </w:num>
  <w:num w:numId="43">
    <w:abstractNumId w:val="7"/>
  </w:num>
  <w:num w:numId="44">
    <w:abstractNumId w:val="31"/>
  </w:num>
  <w:num w:numId="45">
    <w:abstractNumId w:val="24"/>
  </w:num>
  <w:num w:numId="46">
    <w:abstractNumId w:val="43"/>
  </w:num>
  <w:num w:numId="47">
    <w:abstractNumId w:val="4"/>
  </w:num>
  <w:num w:numId="48">
    <w:abstractNumId w:val="36"/>
  </w:num>
  <w:num w:numId="49">
    <w:abstractNumId w:val="19"/>
  </w:num>
  <w:num w:numId="50">
    <w:abstractNumId w:val="37"/>
  </w:num>
  <w:num w:numId="51">
    <w:abstractNumId w:val="4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US" w:vendorID="64" w:dllVersion="6" w:nlCheck="1" w:checkStyle="0"/>
  <w:activeWritingStyle w:appName="MSWord" w:lang="it-IT" w:vendorID="64" w:dllVersion="4096" w:nlCheck="1" w:checkStyle="0"/>
  <w:defaultTabStop w:val="709"/>
  <w:hyphenationZone w:val="283"/>
  <w:drawingGridHorizontalSpacing w:val="110"/>
  <w:displayHorizontalDrawingGridEvery w:val="2"/>
  <w:characterSpacingControl w:val="doNotCompress"/>
  <w:hdrShapeDefaults>
    <o:shapedefaults v:ext="edit" spidmax="2049" style="mso-width-relative:margin;mso-height-relative:margin" fillcolor="#9bbb59" strokecolor="#f2f2f2">
      <v:fill color="#9bbb59"/>
      <v:stroke color="#f2f2f2" weight="3pt"/>
      <v:shadow on="t" type="perspective" color="#4e6128" opacity=".5" origin=",.5" offset="0,0" matrix=",-56756f,,.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D43"/>
    <w:rsid w:val="0000046A"/>
    <w:rsid w:val="00000484"/>
    <w:rsid w:val="00000949"/>
    <w:rsid w:val="000017A8"/>
    <w:rsid w:val="00003AE9"/>
    <w:rsid w:val="000051F8"/>
    <w:rsid w:val="0000569B"/>
    <w:rsid w:val="000059BE"/>
    <w:rsid w:val="00005AE4"/>
    <w:rsid w:val="00005D43"/>
    <w:rsid w:val="0000660C"/>
    <w:rsid w:val="00006EC7"/>
    <w:rsid w:val="000077F7"/>
    <w:rsid w:val="00007D15"/>
    <w:rsid w:val="000104FD"/>
    <w:rsid w:val="00010A83"/>
    <w:rsid w:val="000133EE"/>
    <w:rsid w:val="0001368C"/>
    <w:rsid w:val="00014A79"/>
    <w:rsid w:val="00014C46"/>
    <w:rsid w:val="0001506B"/>
    <w:rsid w:val="00015B03"/>
    <w:rsid w:val="00015C62"/>
    <w:rsid w:val="00015D54"/>
    <w:rsid w:val="00016434"/>
    <w:rsid w:val="00017AA6"/>
    <w:rsid w:val="000204E3"/>
    <w:rsid w:val="00021189"/>
    <w:rsid w:val="00021712"/>
    <w:rsid w:val="00022BCB"/>
    <w:rsid w:val="00023C66"/>
    <w:rsid w:val="000245D8"/>
    <w:rsid w:val="00024962"/>
    <w:rsid w:val="00025352"/>
    <w:rsid w:val="00026DE7"/>
    <w:rsid w:val="00026F65"/>
    <w:rsid w:val="0003068B"/>
    <w:rsid w:val="000319B2"/>
    <w:rsid w:val="00031A06"/>
    <w:rsid w:val="00031B59"/>
    <w:rsid w:val="00031DB5"/>
    <w:rsid w:val="000320B5"/>
    <w:rsid w:val="000332C3"/>
    <w:rsid w:val="000337A5"/>
    <w:rsid w:val="00033A95"/>
    <w:rsid w:val="000349C6"/>
    <w:rsid w:val="0003623F"/>
    <w:rsid w:val="00037394"/>
    <w:rsid w:val="000401C1"/>
    <w:rsid w:val="00041B40"/>
    <w:rsid w:val="00041FA8"/>
    <w:rsid w:val="000426A3"/>
    <w:rsid w:val="00042736"/>
    <w:rsid w:val="00044402"/>
    <w:rsid w:val="0004540D"/>
    <w:rsid w:val="000456A3"/>
    <w:rsid w:val="00046EA0"/>
    <w:rsid w:val="000470A1"/>
    <w:rsid w:val="00050338"/>
    <w:rsid w:val="00050BDF"/>
    <w:rsid w:val="0005247F"/>
    <w:rsid w:val="00052682"/>
    <w:rsid w:val="00052FBD"/>
    <w:rsid w:val="000534F3"/>
    <w:rsid w:val="000536BB"/>
    <w:rsid w:val="00053E0A"/>
    <w:rsid w:val="000543EB"/>
    <w:rsid w:val="000550A3"/>
    <w:rsid w:val="00055497"/>
    <w:rsid w:val="000554F2"/>
    <w:rsid w:val="00055591"/>
    <w:rsid w:val="00055AD0"/>
    <w:rsid w:val="00055D06"/>
    <w:rsid w:val="00060193"/>
    <w:rsid w:val="000609B8"/>
    <w:rsid w:val="00061F5E"/>
    <w:rsid w:val="00061FF8"/>
    <w:rsid w:val="000621AD"/>
    <w:rsid w:val="00062BC7"/>
    <w:rsid w:val="00063ACA"/>
    <w:rsid w:val="00064134"/>
    <w:rsid w:val="00064EEF"/>
    <w:rsid w:val="00065081"/>
    <w:rsid w:val="00067333"/>
    <w:rsid w:val="00067E95"/>
    <w:rsid w:val="00070BB5"/>
    <w:rsid w:val="00070CB8"/>
    <w:rsid w:val="0007182C"/>
    <w:rsid w:val="000726F7"/>
    <w:rsid w:val="0007282C"/>
    <w:rsid w:val="00072F7C"/>
    <w:rsid w:val="00073751"/>
    <w:rsid w:val="00073A0B"/>
    <w:rsid w:val="00073F49"/>
    <w:rsid w:val="000747D0"/>
    <w:rsid w:val="000747E0"/>
    <w:rsid w:val="00074E01"/>
    <w:rsid w:val="00075213"/>
    <w:rsid w:val="00075879"/>
    <w:rsid w:val="000759FD"/>
    <w:rsid w:val="000764F9"/>
    <w:rsid w:val="00077FB5"/>
    <w:rsid w:val="0008081A"/>
    <w:rsid w:val="00080F75"/>
    <w:rsid w:val="000810B9"/>
    <w:rsid w:val="00081D96"/>
    <w:rsid w:val="000824CA"/>
    <w:rsid w:val="000845F6"/>
    <w:rsid w:val="00084625"/>
    <w:rsid w:val="00084832"/>
    <w:rsid w:val="00085673"/>
    <w:rsid w:val="00085B6B"/>
    <w:rsid w:val="00085D78"/>
    <w:rsid w:val="00086B0F"/>
    <w:rsid w:val="00086C9A"/>
    <w:rsid w:val="00086E1E"/>
    <w:rsid w:val="000902E7"/>
    <w:rsid w:val="000906EE"/>
    <w:rsid w:val="00090F4F"/>
    <w:rsid w:val="000910AA"/>
    <w:rsid w:val="00091AE6"/>
    <w:rsid w:val="00091AFC"/>
    <w:rsid w:val="0009340E"/>
    <w:rsid w:val="00093B2C"/>
    <w:rsid w:val="000944D2"/>
    <w:rsid w:val="000951FC"/>
    <w:rsid w:val="00095431"/>
    <w:rsid w:val="00095580"/>
    <w:rsid w:val="000956F2"/>
    <w:rsid w:val="00095936"/>
    <w:rsid w:val="000962AA"/>
    <w:rsid w:val="0009646D"/>
    <w:rsid w:val="0009707F"/>
    <w:rsid w:val="000970AE"/>
    <w:rsid w:val="0009722F"/>
    <w:rsid w:val="000A15C7"/>
    <w:rsid w:val="000A19B9"/>
    <w:rsid w:val="000A1F20"/>
    <w:rsid w:val="000A29C2"/>
    <w:rsid w:val="000A2BAD"/>
    <w:rsid w:val="000A2F8E"/>
    <w:rsid w:val="000A301F"/>
    <w:rsid w:val="000A3453"/>
    <w:rsid w:val="000A3D36"/>
    <w:rsid w:val="000A5C8B"/>
    <w:rsid w:val="000A626D"/>
    <w:rsid w:val="000A641D"/>
    <w:rsid w:val="000A6728"/>
    <w:rsid w:val="000A68E7"/>
    <w:rsid w:val="000A74F9"/>
    <w:rsid w:val="000B046B"/>
    <w:rsid w:val="000B08F2"/>
    <w:rsid w:val="000B1C36"/>
    <w:rsid w:val="000B1D53"/>
    <w:rsid w:val="000B240A"/>
    <w:rsid w:val="000B2F83"/>
    <w:rsid w:val="000B3141"/>
    <w:rsid w:val="000B38B8"/>
    <w:rsid w:val="000B3B84"/>
    <w:rsid w:val="000B4199"/>
    <w:rsid w:val="000B457E"/>
    <w:rsid w:val="000B6A0D"/>
    <w:rsid w:val="000B6EC0"/>
    <w:rsid w:val="000B7133"/>
    <w:rsid w:val="000B751B"/>
    <w:rsid w:val="000B76EB"/>
    <w:rsid w:val="000B7AA3"/>
    <w:rsid w:val="000B7ACA"/>
    <w:rsid w:val="000C03B1"/>
    <w:rsid w:val="000C0850"/>
    <w:rsid w:val="000C0DDB"/>
    <w:rsid w:val="000C1B52"/>
    <w:rsid w:val="000C1BA6"/>
    <w:rsid w:val="000C3795"/>
    <w:rsid w:val="000C5A4A"/>
    <w:rsid w:val="000C755B"/>
    <w:rsid w:val="000C7B88"/>
    <w:rsid w:val="000D0185"/>
    <w:rsid w:val="000D09B1"/>
    <w:rsid w:val="000D14AC"/>
    <w:rsid w:val="000D2721"/>
    <w:rsid w:val="000D28C2"/>
    <w:rsid w:val="000D2956"/>
    <w:rsid w:val="000D2A59"/>
    <w:rsid w:val="000D2AA6"/>
    <w:rsid w:val="000D2C66"/>
    <w:rsid w:val="000D3238"/>
    <w:rsid w:val="000D3E29"/>
    <w:rsid w:val="000D4253"/>
    <w:rsid w:val="000D44AD"/>
    <w:rsid w:val="000D48D8"/>
    <w:rsid w:val="000D52A1"/>
    <w:rsid w:val="000D546C"/>
    <w:rsid w:val="000D6369"/>
    <w:rsid w:val="000D65F0"/>
    <w:rsid w:val="000D6E42"/>
    <w:rsid w:val="000D74DB"/>
    <w:rsid w:val="000D7939"/>
    <w:rsid w:val="000D7E5D"/>
    <w:rsid w:val="000E00F4"/>
    <w:rsid w:val="000E3068"/>
    <w:rsid w:val="000E3B84"/>
    <w:rsid w:val="000E3C9D"/>
    <w:rsid w:val="000E493A"/>
    <w:rsid w:val="000E4FAB"/>
    <w:rsid w:val="000E50BB"/>
    <w:rsid w:val="000E5B67"/>
    <w:rsid w:val="000E72D2"/>
    <w:rsid w:val="000E773F"/>
    <w:rsid w:val="000E7E66"/>
    <w:rsid w:val="000F01F9"/>
    <w:rsid w:val="000F059B"/>
    <w:rsid w:val="000F083C"/>
    <w:rsid w:val="000F0F85"/>
    <w:rsid w:val="000F2E67"/>
    <w:rsid w:val="000F3A27"/>
    <w:rsid w:val="000F50B3"/>
    <w:rsid w:val="000F51AC"/>
    <w:rsid w:val="000F6E6F"/>
    <w:rsid w:val="00100A7F"/>
    <w:rsid w:val="0010109A"/>
    <w:rsid w:val="00103E1F"/>
    <w:rsid w:val="00104213"/>
    <w:rsid w:val="00105458"/>
    <w:rsid w:val="001056F0"/>
    <w:rsid w:val="0010601D"/>
    <w:rsid w:val="00106A73"/>
    <w:rsid w:val="00106A7B"/>
    <w:rsid w:val="00106B4C"/>
    <w:rsid w:val="001072BD"/>
    <w:rsid w:val="00107961"/>
    <w:rsid w:val="00107BCA"/>
    <w:rsid w:val="00107CD8"/>
    <w:rsid w:val="00107D8F"/>
    <w:rsid w:val="001105AA"/>
    <w:rsid w:val="00110D08"/>
    <w:rsid w:val="00110E88"/>
    <w:rsid w:val="00111A0F"/>
    <w:rsid w:val="00112148"/>
    <w:rsid w:val="001125EE"/>
    <w:rsid w:val="00112D7E"/>
    <w:rsid w:val="00112DCA"/>
    <w:rsid w:val="00113276"/>
    <w:rsid w:val="00113746"/>
    <w:rsid w:val="00115752"/>
    <w:rsid w:val="00115876"/>
    <w:rsid w:val="00115AF4"/>
    <w:rsid w:val="001200B0"/>
    <w:rsid w:val="001201B3"/>
    <w:rsid w:val="001204BB"/>
    <w:rsid w:val="00121852"/>
    <w:rsid w:val="00121905"/>
    <w:rsid w:val="00122066"/>
    <w:rsid w:val="00123730"/>
    <w:rsid w:val="00123937"/>
    <w:rsid w:val="00124279"/>
    <w:rsid w:val="001248A8"/>
    <w:rsid w:val="00124D56"/>
    <w:rsid w:val="00126027"/>
    <w:rsid w:val="00126B15"/>
    <w:rsid w:val="00127474"/>
    <w:rsid w:val="0013041B"/>
    <w:rsid w:val="001304FE"/>
    <w:rsid w:val="00130AF0"/>
    <w:rsid w:val="00130FB6"/>
    <w:rsid w:val="00132584"/>
    <w:rsid w:val="00132954"/>
    <w:rsid w:val="00133541"/>
    <w:rsid w:val="00133B38"/>
    <w:rsid w:val="00133E0F"/>
    <w:rsid w:val="00133EBE"/>
    <w:rsid w:val="001343F1"/>
    <w:rsid w:val="00135014"/>
    <w:rsid w:val="00135198"/>
    <w:rsid w:val="001356F2"/>
    <w:rsid w:val="00135886"/>
    <w:rsid w:val="00135A41"/>
    <w:rsid w:val="001369DF"/>
    <w:rsid w:val="00137522"/>
    <w:rsid w:val="0014030F"/>
    <w:rsid w:val="0014146C"/>
    <w:rsid w:val="00141A5D"/>
    <w:rsid w:val="00141E55"/>
    <w:rsid w:val="00142A78"/>
    <w:rsid w:val="001430CD"/>
    <w:rsid w:val="00143144"/>
    <w:rsid w:val="00143591"/>
    <w:rsid w:val="001446AA"/>
    <w:rsid w:val="001456D2"/>
    <w:rsid w:val="00145EAF"/>
    <w:rsid w:val="001460F1"/>
    <w:rsid w:val="0014611E"/>
    <w:rsid w:val="00147948"/>
    <w:rsid w:val="00147F92"/>
    <w:rsid w:val="00150052"/>
    <w:rsid w:val="00150F35"/>
    <w:rsid w:val="00150F63"/>
    <w:rsid w:val="00151EBC"/>
    <w:rsid w:val="00152C86"/>
    <w:rsid w:val="00153836"/>
    <w:rsid w:val="00153872"/>
    <w:rsid w:val="001544E0"/>
    <w:rsid w:val="001553CF"/>
    <w:rsid w:val="00156358"/>
    <w:rsid w:val="00156682"/>
    <w:rsid w:val="00156AC6"/>
    <w:rsid w:val="0015728C"/>
    <w:rsid w:val="001573C4"/>
    <w:rsid w:val="00157415"/>
    <w:rsid w:val="00160953"/>
    <w:rsid w:val="00160CCD"/>
    <w:rsid w:val="001610D5"/>
    <w:rsid w:val="00161296"/>
    <w:rsid w:val="00161E8B"/>
    <w:rsid w:val="001629B0"/>
    <w:rsid w:val="001632CD"/>
    <w:rsid w:val="00164430"/>
    <w:rsid w:val="00164E09"/>
    <w:rsid w:val="001654C2"/>
    <w:rsid w:val="0016570C"/>
    <w:rsid w:val="001666AB"/>
    <w:rsid w:val="00166AAC"/>
    <w:rsid w:val="00166F70"/>
    <w:rsid w:val="001673BB"/>
    <w:rsid w:val="001673BE"/>
    <w:rsid w:val="00167427"/>
    <w:rsid w:val="00167C4B"/>
    <w:rsid w:val="001708E5"/>
    <w:rsid w:val="0017159C"/>
    <w:rsid w:val="0017317B"/>
    <w:rsid w:val="00173607"/>
    <w:rsid w:val="00173A63"/>
    <w:rsid w:val="00173D8F"/>
    <w:rsid w:val="00173E3A"/>
    <w:rsid w:val="00174D12"/>
    <w:rsid w:val="00174D14"/>
    <w:rsid w:val="001750C1"/>
    <w:rsid w:val="001758A1"/>
    <w:rsid w:val="00175D49"/>
    <w:rsid w:val="00176995"/>
    <w:rsid w:val="00176C42"/>
    <w:rsid w:val="00176F2A"/>
    <w:rsid w:val="0017739F"/>
    <w:rsid w:val="00177C04"/>
    <w:rsid w:val="0018398F"/>
    <w:rsid w:val="00183AA5"/>
    <w:rsid w:val="00183C4D"/>
    <w:rsid w:val="00184E59"/>
    <w:rsid w:val="0018644F"/>
    <w:rsid w:val="00187688"/>
    <w:rsid w:val="00187A6C"/>
    <w:rsid w:val="0019053D"/>
    <w:rsid w:val="00190B90"/>
    <w:rsid w:val="00190C71"/>
    <w:rsid w:val="001913EB"/>
    <w:rsid w:val="001923B5"/>
    <w:rsid w:val="00192871"/>
    <w:rsid w:val="00192E09"/>
    <w:rsid w:val="00193819"/>
    <w:rsid w:val="00193BBD"/>
    <w:rsid w:val="00194606"/>
    <w:rsid w:val="001948C8"/>
    <w:rsid w:val="001949C3"/>
    <w:rsid w:val="00195DB5"/>
    <w:rsid w:val="001969B2"/>
    <w:rsid w:val="00196DF2"/>
    <w:rsid w:val="001A0249"/>
    <w:rsid w:val="001A076B"/>
    <w:rsid w:val="001A0B30"/>
    <w:rsid w:val="001A0F44"/>
    <w:rsid w:val="001A11C5"/>
    <w:rsid w:val="001A2550"/>
    <w:rsid w:val="001A2F7E"/>
    <w:rsid w:val="001A3DA9"/>
    <w:rsid w:val="001A4CD2"/>
    <w:rsid w:val="001A4D0A"/>
    <w:rsid w:val="001A4E60"/>
    <w:rsid w:val="001A53AD"/>
    <w:rsid w:val="001A55B1"/>
    <w:rsid w:val="001A56D5"/>
    <w:rsid w:val="001A6300"/>
    <w:rsid w:val="001A66D7"/>
    <w:rsid w:val="001A6925"/>
    <w:rsid w:val="001A6DC1"/>
    <w:rsid w:val="001B0049"/>
    <w:rsid w:val="001B113E"/>
    <w:rsid w:val="001B16C0"/>
    <w:rsid w:val="001B1B48"/>
    <w:rsid w:val="001B2FAC"/>
    <w:rsid w:val="001B4672"/>
    <w:rsid w:val="001B5959"/>
    <w:rsid w:val="001B5996"/>
    <w:rsid w:val="001B618B"/>
    <w:rsid w:val="001B6877"/>
    <w:rsid w:val="001B71BA"/>
    <w:rsid w:val="001B735D"/>
    <w:rsid w:val="001C06CB"/>
    <w:rsid w:val="001C0782"/>
    <w:rsid w:val="001C0BB4"/>
    <w:rsid w:val="001C0F77"/>
    <w:rsid w:val="001C1A96"/>
    <w:rsid w:val="001C1B2B"/>
    <w:rsid w:val="001C1EFE"/>
    <w:rsid w:val="001C259C"/>
    <w:rsid w:val="001C2676"/>
    <w:rsid w:val="001C2B2E"/>
    <w:rsid w:val="001C2D5F"/>
    <w:rsid w:val="001C2F2D"/>
    <w:rsid w:val="001C334A"/>
    <w:rsid w:val="001C4ACB"/>
    <w:rsid w:val="001C4EC2"/>
    <w:rsid w:val="001C50D7"/>
    <w:rsid w:val="001C5615"/>
    <w:rsid w:val="001C5AC9"/>
    <w:rsid w:val="001C6142"/>
    <w:rsid w:val="001C61ED"/>
    <w:rsid w:val="001C68D9"/>
    <w:rsid w:val="001C6A35"/>
    <w:rsid w:val="001C6C79"/>
    <w:rsid w:val="001C6FC7"/>
    <w:rsid w:val="001C7A33"/>
    <w:rsid w:val="001D1844"/>
    <w:rsid w:val="001D1B9B"/>
    <w:rsid w:val="001D2CBD"/>
    <w:rsid w:val="001D2D0F"/>
    <w:rsid w:val="001D394D"/>
    <w:rsid w:val="001D3977"/>
    <w:rsid w:val="001D3A18"/>
    <w:rsid w:val="001D4C35"/>
    <w:rsid w:val="001D5B9F"/>
    <w:rsid w:val="001D5FB4"/>
    <w:rsid w:val="001D619F"/>
    <w:rsid w:val="001D631A"/>
    <w:rsid w:val="001D6554"/>
    <w:rsid w:val="001D664B"/>
    <w:rsid w:val="001D68F0"/>
    <w:rsid w:val="001D778A"/>
    <w:rsid w:val="001E0C03"/>
    <w:rsid w:val="001E0DCC"/>
    <w:rsid w:val="001E1E32"/>
    <w:rsid w:val="001E26AE"/>
    <w:rsid w:val="001E2C16"/>
    <w:rsid w:val="001E321A"/>
    <w:rsid w:val="001E3A3F"/>
    <w:rsid w:val="001E479A"/>
    <w:rsid w:val="001E50F9"/>
    <w:rsid w:val="001E5CB8"/>
    <w:rsid w:val="001E5E11"/>
    <w:rsid w:val="001E5E38"/>
    <w:rsid w:val="001E6036"/>
    <w:rsid w:val="001E6EC3"/>
    <w:rsid w:val="001E706E"/>
    <w:rsid w:val="001E7207"/>
    <w:rsid w:val="001E7932"/>
    <w:rsid w:val="001E7CB7"/>
    <w:rsid w:val="001F08CC"/>
    <w:rsid w:val="001F2B37"/>
    <w:rsid w:val="001F2F53"/>
    <w:rsid w:val="001F2F74"/>
    <w:rsid w:val="001F3C40"/>
    <w:rsid w:val="001F4205"/>
    <w:rsid w:val="001F4B75"/>
    <w:rsid w:val="001F4D54"/>
    <w:rsid w:val="001F5101"/>
    <w:rsid w:val="001F5946"/>
    <w:rsid w:val="001F718A"/>
    <w:rsid w:val="001F7458"/>
    <w:rsid w:val="001F74C9"/>
    <w:rsid w:val="001F7725"/>
    <w:rsid w:val="001F7CD7"/>
    <w:rsid w:val="002002EA"/>
    <w:rsid w:val="00200A8F"/>
    <w:rsid w:val="00200CC3"/>
    <w:rsid w:val="00201416"/>
    <w:rsid w:val="00201FA6"/>
    <w:rsid w:val="0020359E"/>
    <w:rsid w:val="00203EA4"/>
    <w:rsid w:val="00203EC8"/>
    <w:rsid w:val="00204043"/>
    <w:rsid w:val="00204F33"/>
    <w:rsid w:val="00205ACD"/>
    <w:rsid w:val="00206640"/>
    <w:rsid w:val="00206657"/>
    <w:rsid w:val="00206678"/>
    <w:rsid w:val="00206D6E"/>
    <w:rsid w:val="00210F03"/>
    <w:rsid w:val="00211B06"/>
    <w:rsid w:val="002121A4"/>
    <w:rsid w:val="00212326"/>
    <w:rsid w:val="00213616"/>
    <w:rsid w:val="002146D3"/>
    <w:rsid w:val="002149FA"/>
    <w:rsid w:val="00214F70"/>
    <w:rsid w:val="00215435"/>
    <w:rsid w:val="002163FC"/>
    <w:rsid w:val="00216430"/>
    <w:rsid w:val="00216DEC"/>
    <w:rsid w:val="00216E19"/>
    <w:rsid w:val="002171E6"/>
    <w:rsid w:val="0021772C"/>
    <w:rsid w:val="00217FB8"/>
    <w:rsid w:val="00221F70"/>
    <w:rsid w:val="00222FFD"/>
    <w:rsid w:val="00223196"/>
    <w:rsid w:val="00223481"/>
    <w:rsid w:val="002234C9"/>
    <w:rsid w:val="002241EA"/>
    <w:rsid w:val="00224390"/>
    <w:rsid w:val="0022508D"/>
    <w:rsid w:val="00225ED7"/>
    <w:rsid w:val="002264ED"/>
    <w:rsid w:val="00226BFD"/>
    <w:rsid w:val="00226DF3"/>
    <w:rsid w:val="00227D65"/>
    <w:rsid w:val="00230A3B"/>
    <w:rsid w:val="00230A88"/>
    <w:rsid w:val="00231B94"/>
    <w:rsid w:val="00232ED1"/>
    <w:rsid w:val="00233027"/>
    <w:rsid w:val="0023346E"/>
    <w:rsid w:val="00235066"/>
    <w:rsid w:val="00236112"/>
    <w:rsid w:val="00236625"/>
    <w:rsid w:val="00237959"/>
    <w:rsid w:val="00237E7B"/>
    <w:rsid w:val="002407A1"/>
    <w:rsid w:val="0024120D"/>
    <w:rsid w:val="00241335"/>
    <w:rsid w:val="00241371"/>
    <w:rsid w:val="002415F7"/>
    <w:rsid w:val="00242006"/>
    <w:rsid w:val="002421A4"/>
    <w:rsid w:val="00242ADE"/>
    <w:rsid w:val="002431B3"/>
    <w:rsid w:val="002435E6"/>
    <w:rsid w:val="00243670"/>
    <w:rsid w:val="00243980"/>
    <w:rsid w:val="00244BD2"/>
    <w:rsid w:val="00245762"/>
    <w:rsid w:val="00246343"/>
    <w:rsid w:val="00246A03"/>
    <w:rsid w:val="0024709D"/>
    <w:rsid w:val="00247850"/>
    <w:rsid w:val="00247DBA"/>
    <w:rsid w:val="002502BE"/>
    <w:rsid w:val="002502FD"/>
    <w:rsid w:val="002507C6"/>
    <w:rsid w:val="00250D32"/>
    <w:rsid w:val="002511D3"/>
    <w:rsid w:val="00251645"/>
    <w:rsid w:val="002528A9"/>
    <w:rsid w:val="00252E0D"/>
    <w:rsid w:val="002530DE"/>
    <w:rsid w:val="00253F0E"/>
    <w:rsid w:val="002550B1"/>
    <w:rsid w:val="002559B6"/>
    <w:rsid w:val="00255E55"/>
    <w:rsid w:val="00256430"/>
    <w:rsid w:val="0025687B"/>
    <w:rsid w:val="002570B4"/>
    <w:rsid w:val="00257199"/>
    <w:rsid w:val="00260B3B"/>
    <w:rsid w:val="002611C3"/>
    <w:rsid w:val="00261671"/>
    <w:rsid w:val="0026229A"/>
    <w:rsid w:val="002628AF"/>
    <w:rsid w:val="0026333A"/>
    <w:rsid w:val="002634FA"/>
    <w:rsid w:val="00263E8C"/>
    <w:rsid w:val="002644C4"/>
    <w:rsid w:val="00264609"/>
    <w:rsid w:val="00264B8B"/>
    <w:rsid w:val="00264E00"/>
    <w:rsid w:val="00264FE9"/>
    <w:rsid w:val="00265695"/>
    <w:rsid w:val="00265776"/>
    <w:rsid w:val="00265AE5"/>
    <w:rsid w:val="002675DA"/>
    <w:rsid w:val="00270143"/>
    <w:rsid w:val="00270318"/>
    <w:rsid w:val="002706B8"/>
    <w:rsid w:val="00270775"/>
    <w:rsid w:val="002707CA"/>
    <w:rsid w:val="0027089A"/>
    <w:rsid w:val="00271047"/>
    <w:rsid w:val="00271C12"/>
    <w:rsid w:val="002724D7"/>
    <w:rsid w:val="00272D5E"/>
    <w:rsid w:val="0027308B"/>
    <w:rsid w:val="00273B65"/>
    <w:rsid w:val="0027453C"/>
    <w:rsid w:val="00275C73"/>
    <w:rsid w:val="00276220"/>
    <w:rsid w:val="00276D0F"/>
    <w:rsid w:val="002772DF"/>
    <w:rsid w:val="00280433"/>
    <w:rsid w:val="00280A95"/>
    <w:rsid w:val="00281042"/>
    <w:rsid w:val="00281557"/>
    <w:rsid w:val="0028205F"/>
    <w:rsid w:val="002827BF"/>
    <w:rsid w:val="002829E8"/>
    <w:rsid w:val="00282A14"/>
    <w:rsid w:val="002839EC"/>
    <w:rsid w:val="00284EEF"/>
    <w:rsid w:val="002853E6"/>
    <w:rsid w:val="00285B34"/>
    <w:rsid w:val="002862CF"/>
    <w:rsid w:val="00287C4F"/>
    <w:rsid w:val="00290492"/>
    <w:rsid w:val="002905CC"/>
    <w:rsid w:val="00290A4D"/>
    <w:rsid w:val="002910E2"/>
    <w:rsid w:val="0029197E"/>
    <w:rsid w:val="00291FCA"/>
    <w:rsid w:val="0029224C"/>
    <w:rsid w:val="0029257B"/>
    <w:rsid w:val="00292992"/>
    <w:rsid w:val="00293348"/>
    <w:rsid w:val="00293845"/>
    <w:rsid w:val="00294159"/>
    <w:rsid w:val="00294EA6"/>
    <w:rsid w:val="002952B3"/>
    <w:rsid w:val="002952F5"/>
    <w:rsid w:val="00295AFA"/>
    <w:rsid w:val="00295B32"/>
    <w:rsid w:val="00297DBD"/>
    <w:rsid w:val="002A0126"/>
    <w:rsid w:val="002A049A"/>
    <w:rsid w:val="002A0961"/>
    <w:rsid w:val="002A0CD6"/>
    <w:rsid w:val="002A3950"/>
    <w:rsid w:val="002A4048"/>
    <w:rsid w:val="002A45BC"/>
    <w:rsid w:val="002A50A4"/>
    <w:rsid w:val="002A5128"/>
    <w:rsid w:val="002A5913"/>
    <w:rsid w:val="002A6315"/>
    <w:rsid w:val="002A6D67"/>
    <w:rsid w:val="002A7570"/>
    <w:rsid w:val="002A7FD5"/>
    <w:rsid w:val="002B0823"/>
    <w:rsid w:val="002B238A"/>
    <w:rsid w:val="002B2E05"/>
    <w:rsid w:val="002B3130"/>
    <w:rsid w:val="002B34B0"/>
    <w:rsid w:val="002B34CB"/>
    <w:rsid w:val="002B46F9"/>
    <w:rsid w:val="002B563E"/>
    <w:rsid w:val="002B5994"/>
    <w:rsid w:val="002B5A42"/>
    <w:rsid w:val="002B68A3"/>
    <w:rsid w:val="002B6900"/>
    <w:rsid w:val="002B6DDF"/>
    <w:rsid w:val="002B7C29"/>
    <w:rsid w:val="002B7DCE"/>
    <w:rsid w:val="002C0CBA"/>
    <w:rsid w:val="002C14B1"/>
    <w:rsid w:val="002C2892"/>
    <w:rsid w:val="002C34E8"/>
    <w:rsid w:val="002C3B9D"/>
    <w:rsid w:val="002C407B"/>
    <w:rsid w:val="002C4868"/>
    <w:rsid w:val="002C4E52"/>
    <w:rsid w:val="002C5425"/>
    <w:rsid w:val="002C57FD"/>
    <w:rsid w:val="002C65D8"/>
    <w:rsid w:val="002C6CB8"/>
    <w:rsid w:val="002D0C17"/>
    <w:rsid w:val="002D11FD"/>
    <w:rsid w:val="002D16ED"/>
    <w:rsid w:val="002D2528"/>
    <w:rsid w:val="002D26CC"/>
    <w:rsid w:val="002D334E"/>
    <w:rsid w:val="002D39A8"/>
    <w:rsid w:val="002D45E9"/>
    <w:rsid w:val="002D5228"/>
    <w:rsid w:val="002D595E"/>
    <w:rsid w:val="002D5B73"/>
    <w:rsid w:val="002D5F07"/>
    <w:rsid w:val="002D60F3"/>
    <w:rsid w:val="002D6603"/>
    <w:rsid w:val="002E021F"/>
    <w:rsid w:val="002E08D3"/>
    <w:rsid w:val="002E1149"/>
    <w:rsid w:val="002E1D7F"/>
    <w:rsid w:val="002E2341"/>
    <w:rsid w:val="002E2388"/>
    <w:rsid w:val="002E3FCF"/>
    <w:rsid w:val="002E4CB7"/>
    <w:rsid w:val="002E529D"/>
    <w:rsid w:val="002E5380"/>
    <w:rsid w:val="002E60EB"/>
    <w:rsid w:val="002E624C"/>
    <w:rsid w:val="002E6AB6"/>
    <w:rsid w:val="002E702E"/>
    <w:rsid w:val="002E7CB1"/>
    <w:rsid w:val="002F1DC7"/>
    <w:rsid w:val="002F2208"/>
    <w:rsid w:val="002F2955"/>
    <w:rsid w:val="002F32DC"/>
    <w:rsid w:val="002F47B0"/>
    <w:rsid w:val="002F4891"/>
    <w:rsid w:val="002F4F40"/>
    <w:rsid w:val="002F53E0"/>
    <w:rsid w:val="002F6EEC"/>
    <w:rsid w:val="002F7005"/>
    <w:rsid w:val="002F7C0E"/>
    <w:rsid w:val="00300FB5"/>
    <w:rsid w:val="00301D73"/>
    <w:rsid w:val="00301E4B"/>
    <w:rsid w:val="00302EC9"/>
    <w:rsid w:val="00303704"/>
    <w:rsid w:val="0030420E"/>
    <w:rsid w:val="0030471E"/>
    <w:rsid w:val="00304DB3"/>
    <w:rsid w:val="003064E0"/>
    <w:rsid w:val="00307317"/>
    <w:rsid w:val="003075C5"/>
    <w:rsid w:val="003075CF"/>
    <w:rsid w:val="003077DA"/>
    <w:rsid w:val="00307A94"/>
    <w:rsid w:val="00307AD4"/>
    <w:rsid w:val="00310212"/>
    <w:rsid w:val="00310F33"/>
    <w:rsid w:val="003114A3"/>
    <w:rsid w:val="003116AE"/>
    <w:rsid w:val="00311882"/>
    <w:rsid w:val="00311A97"/>
    <w:rsid w:val="00312903"/>
    <w:rsid w:val="0031335F"/>
    <w:rsid w:val="00313904"/>
    <w:rsid w:val="00313926"/>
    <w:rsid w:val="00313C13"/>
    <w:rsid w:val="00316065"/>
    <w:rsid w:val="00316515"/>
    <w:rsid w:val="003177CD"/>
    <w:rsid w:val="00320233"/>
    <w:rsid w:val="003208A8"/>
    <w:rsid w:val="003209E7"/>
    <w:rsid w:val="00320F3F"/>
    <w:rsid w:val="003220B1"/>
    <w:rsid w:val="00323A88"/>
    <w:rsid w:val="00323C02"/>
    <w:rsid w:val="0032481E"/>
    <w:rsid w:val="003249F2"/>
    <w:rsid w:val="003255AF"/>
    <w:rsid w:val="00325A5C"/>
    <w:rsid w:val="00325C38"/>
    <w:rsid w:val="00325DD1"/>
    <w:rsid w:val="00326F0A"/>
    <w:rsid w:val="00327027"/>
    <w:rsid w:val="00327A40"/>
    <w:rsid w:val="0033015C"/>
    <w:rsid w:val="00330C84"/>
    <w:rsid w:val="00331187"/>
    <w:rsid w:val="0033158E"/>
    <w:rsid w:val="00332425"/>
    <w:rsid w:val="00332D1F"/>
    <w:rsid w:val="00334296"/>
    <w:rsid w:val="00334AFB"/>
    <w:rsid w:val="003355FE"/>
    <w:rsid w:val="00336E84"/>
    <w:rsid w:val="00337000"/>
    <w:rsid w:val="00337D05"/>
    <w:rsid w:val="00340066"/>
    <w:rsid w:val="00340409"/>
    <w:rsid w:val="00340BFF"/>
    <w:rsid w:val="00341B22"/>
    <w:rsid w:val="003423A5"/>
    <w:rsid w:val="003424D0"/>
    <w:rsid w:val="00343090"/>
    <w:rsid w:val="00343968"/>
    <w:rsid w:val="00344051"/>
    <w:rsid w:val="00345E4E"/>
    <w:rsid w:val="003460F9"/>
    <w:rsid w:val="003461E1"/>
    <w:rsid w:val="00346D84"/>
    <w:rsid w:val="00347369"/>
    <w:rsid w:val="00350781"/>
    <w:rsid w:val="00350887"/>
    <w:rsid w:val="003511A4"/>
    <w:rsid w:val="0035187B"/>
    <w:rsid w:val="00352FC2"/>
    <w:rsid w:val="003535C4"/>
    <w:rsid w:val="00353ADB"/>
    <w:rsid w:val="00353D9A"/>
    <w:rsid w:val="0035445E"/>
    <w:rsid w:val="003547C2"/>
    <w:rsid w:val="00356510"/>
    <w:rsid w:val="0035743D"/>
    <w:rsid w:val="00357542"/>
    <w:rsid w:val="0035782C"/>
    <w:rsid w:val="00357B22"/>
    <w:rsid w:val="003607EB"/>
    <w:rsid w:val="00360997"/>
    <w:rsid w:val="003615F7"/>
    <w:rsid w:val="003617A6"/>
    <w:rsid w:val="003619AB"/>
    <w:rsid w:val="003625B2"/>
    <w:rsid w:val="00362CF5"/>
    <w:rsid w:val="0036410C"/>
    <w:rsid w:val="00365946"/>
    <w:rsid w:val="003660EF"/>
    <w:rsid w:val="00366112"/>
    <w:rsid w:val="00366EC7"/>
    <w:rsid w:val="00367443"/>
    <w:rsid w:val="00367CE0"/>
    <w:rsid w:val="00367EF9"/>
    <w:rsid w:val="003701B6"/>
    <w:rsid w:val="00370AFE"/>
    <w:rsid w:val="00371670"/>
    <w:rsid w:val="003719A0"/>
    <w:rsid w:val="00371EA6"/>
    <w:rsid w:val="00371EA8"/>
    <w:rsid w:val="0037299E"/>
    <w:rsid w:val="00372F55"/>
    <w:rsid w:val="003737AD"/>
    <w:rsid w:val="00373DCA"/>
    <w:rsid w:val="00374AB5"/>
    <w:rsid w:val="00374BC8"/>
    <w:rsid w:val="00374FEC"/>
    <w:rsid w:val="003752A2"/>
    <w:rsid w:val="0037538B"/>
    <w:rsid w:val="00375A94"/>
    <w:rsid w:val="003764D4"/>
    <w:rsid w:val="0037731E"/>
    <w:rsid w:val="0037744F"/>
    <w:rsid w:val="00377521"/>
    <w:rsid w:val="00377D4C"/>
    <w:rsid w:val="00380301"/>
    <w:rsid w:val="003811DB"/>
    <w:rsid w:val="0038155A"/>
    <w:rsid w:val="00382091"/>
    <w:rsid w:val="00382273"/>
    <w:rsid w:val="00382C2D"/>
    <w:rsid w:val="00383B13"/>
    <w:rsid w:val="003841ED"/>
    <w:rsid w:val="0038459E"/>
    <w:rsid w:val="00385221"/>
    <w:rsid w:val="00386050"/>
    <w:rsid w:val="00386216"/>
    <w:rsid w:val="00390262"/>
    <w:rsid w:val="00390392"/>
    <w:rsid w:val="003915A5"/>
    <w:rsid w:val="00393592"/>
    <w:rsid w:val="00393845"/>
    <w:rsid w:val="00393C2E"/>
    <w:rsid w:val="00393D00"/>
    <w:rsid w:val="003941F7"/>
    <w:rsid w:val="00394741"/>
    <w:rsid w:val="00395059"/>
    <w:rsid w:val="00395779"/>
    <w:rsid w:val="003958E6"/>
    <w:rsid w:val="00397219"/>
    <w:rsid w:val="00397330"/>
    <w:rsid w:val="00397649"/>
    <w:rsid w:val="00397BFF"/>
    <w:rsid w:val="003A0136"/>
    <w:rsid w:val="003A0742"/>
    <w:rsid w:val="003A0CCA"/>
    <w:rsid w:val="003A1E22"/>
    <w:rsid w:val="003A2602"/>
    <w:rsid w:val="003A299A"/>
    <w:rsid w:val="003A3373"/>
    <w:rsid w:val="003A368E"/>
    <w:rsid w:val="003A3862"/>
    <w:rsid w:val="003A3916"/>
    <w:rsid w:val="003A3B9F"/>
    <w:rsid w:val="003A3BB5"/>
    <w:rsid w:val="003A3E00"/>
    <w:rsid w:val="003A47F2"/>
    <w:rsid w:val="003A4D98"/>
    <w:rsid w:val="003A5E30"/>
    <w:rsid w:val="003A6849"/>
    <w:rsid w:val="003A6A9E"/>
    <w:rsid w:val="003A74CD"/>
    <w:rsid w:val="003A798E"/>
    <w:rsid w:val="003A7FC5"/>
    <w:rsid w:val="003B0764"/>
    <w:rsid w:val="003B15C4"/>
    <w:rsid w:val="003B15DC"/>
    <w:rsid w:val="003B1CD0"/>
    <w:rsid w:val="003B2663"/>
    <w:rsid w:val="003B28E2"/>
    <w:rsid w:val="003B2B33"/>
    <w:rsid w:val="003B2BB2"/>
    <w:rsid w:val="003B3954"/>
    <w:rsid w:val="003B40FE"/>
    <w:rsid w:val="003B4386"/>
    <w:rsid w:val="003B4855"/>
    <w:rsid w:val="003B5224"/>
    <w:rsid w:val="003B58B9"/>
    <w:rsid w:val="003B6009"/>
    <w:rsid w:val="003B7509"/>
    <w:rsid w:val="003C0570"/>
    <w:rsid w:val="003C183F"/>
    <w:rsid w:val="003C488B"/>
    <w:rsid w:val="003C4BAA"/>
    <w:rsid w:val="003C4EAD"/>
    <w:rsid w:val="003C4FE1"/>
    <w:rsid w:val="003C5A7E"/>
    <w:rsid w:val="003C614E"/>
    <w:rsid w:val="003C635F"/>
    <w:rsid w:val="003C70E0"/>
    <w:rsid w:val="003C72B1"/>
    <w:rsid w:val="003C7500"/>
    <w:rsid w:val="003C789A"/>
    <w:rsid w:val="003C7D28"/>
    <w:rsid w:val="003D029A"/>
    <w:rsid w:val="003D0FAF"/>
    <w:rsid w:val="003D1740"/>
    <w:rsid w:val="003D1B62"/>
    <w:rsid w:val="003D48BE"/>
    <w:rsid w:val="003D4A4A"/>
    <w:rsid w:val="003D4AF0"/>
    <w:rsid w:val="003D50A3"/>
    <w:rsid w:val="003D55D8"/>
    <w:rsid w:val="003D5CCB"/>
    <w:rsid w:val="003D6BB4"/>
    <w:rsid w:val="003D712A"/>
    <w:rsid w:val="003E0D49"/>
    <w:rsid w:val="003E16A8"/>
    <w:rsid w:val="003E2259"/>
    <w:rsid w:val="003E24F8"/>
    <w:rsid w:val="003E2840"/>
    <w:rsid w:val="003E3269"/>
    <w:rsid w:val="003E35C0"/>
    <w:rsid w:val="003E408A"/>
    <w:rsid w:val="003E47CF"/>
    <w:rsid w:val="003E49F8"/>
    <w:rsid w:val="003E552D"/>
    <w:rsid w:val="003E56F3"/>
    <w:rsid w:val="003E5AC1"/>
    <w:rsid w:val="003E6707"/>
    <w:rsid w:val="003E69D5"/>
    <w:rsid w:val="003E6C7C"/>
    <w:rsid w:val="003E78DD"/>
    <w:rsid w:val="003F0916"/>
    <w:rsid w:val="003F0D9F"/>
    <w:rsid w:val="003F21F5"/>
    <w:rsid w:val="003F32E9"/>
    <w:rsid w:val="003F5F26"/>
    <w:rsid w:val="003F662B"/>
    <w:rsid w:val="0040022D"/>
    <w:rsid w:val="00400362"/>
    <w:rsid w:val="004006D3"/>
    <w:rsid w:val="00400FC3"/>
    <w:rsid w:val="00401375"/>
    <w:rsid w:val="00401617"/>
    <w:rsid w:val="00401E0D"/>
    <w:rsid w:val="00402AF6"/>
    <w:rsid w:val="00402CD4"/>
    <w:rsid w:val="004038CC"/>
    <w:rsid w:val="00403A32"/>
    <w:rsid w:val="00403CAD"/>
    <w:rsid w:val="00404DCF"/>
    <w:rsid w:val="00405368"/>
    <w:rsid w:val="0040569D"/>
    <w:rsid w:val="00405AF4"/>
    <w:rsid w:val="00405E90"/>
    <w:rsid w:val="00406356"/>
    <w:rsid w:val="0040670D"/>
    <w:rsid w:val="0040679C"/>
    <w:rsid w:val="0040789F"/>
    <w:rsid w:val="00411BD2"/>
    <w:rsid w:val="00411D12"/>
    <w:rsid w:val="004123F5"/>
    <w:rsid w:val="00412864"/>
    <w:rsid w:val="00412CBE"/>
    <w:rsid w:val="00412CF3"/>
    <w:rsid w:val="00413230"/>
    <w:rsid w:val="004136B0"/>
    <w:rsid w:val="00413952"/>
    <w:rsid w:val="00413E71"/>
    <w:rsid w:val="00414A37"/>
    <w:rsid w:val="004157C2"/>
    <w:rsid w:val="00417088"/>
    <w:rsid w:val="0041778B"/>
    <w:rsid w:val="0041793E"/>
    <w:rsid w:val="00417AAE"/>
    <w:rsid w:val="00417C66"/>
    <w:rsid w:val="00417D81"/>
    <w:rsid w:val="00420273"/>
    <w:rsid w:val="0042040D"/>
    <w:rsid w:val="004207BE"/>
    <w:rsid w:val="00420922"/>
    <w:rsid w:val="00420D87"/>
    <w:rsid w:val="004211B0"/>
    <w:rsid w:val="004226CA"/>
    <w:rsid w:val="00422D2F"/>
    <w:rsid w:val="00423216"/>
    <w:rsid w:val="0042352A"/>
    <w:rsid w:val="00425A3C"/>
    <w:rsid w:val="00425DFB"/>
    <w:rsid w:val="00426732"/>
    <w:rsid w:val="00426734"/>
    <w:rsid w:val="00427036"/>
    <w:rsid w:val="00427072"/>
    <w:rsid w:val="004271A2"/>
    <w:rsid w:val="00427697"/>
    <w:rsid w:val="004276ED"/>
    <w:rsid w:val="00427716"/>
    <w:rsid w:val="004278B9"/>
    <w:rsid w:val="00427B33"/>
    <w:rsid w:val="00427E0D"/>
    <w:rsid w:val="00430036"/>
    <w:rsid w:val="00430193"/>
    <w:rsid w:val="00430A8D"/>
    <w:rsid w:val="00431311"/>
    <w:rsid w:val="0043155C"/>
    <w:rsid w:val="00431CDC"/>
    <w:rsid w:val="00432197"/>
    <w:rsid w:val="00432410"/>
    <w:rsid w:val="00432550"/>
    <w:rsid w:val="00432C4E"/>
    <w:rsid w:val="00434C9D"/>
    <w:rsid w:val="004351E2"/>
    <w:rsid w:val="00435740"/>
    <w:rsid w:val="00435796"/>
    <w:rsid w:val="00435A3F"/>
    <w:rsid w:val="00436253"/>
    <w:rsid w:val="00436264"/>
    <w:rsid w:val="004369E5"/>
    <w:rsid w:val="00437975"/>
    <w:rsid w:val="00440475"/>
    <w:rsid w:val="0044082B"/>
    <w:rsid w:val="00441EB1"/>
    <w:rsid w:val="00441FEA"/>
    <w:rsid w:val="004423D6"/>
    <w:rsid w:val="004439AC"/>
    <w:rsid w:val="00443E94"/>
    <w:rsid w:val="00444379"/>
    <w:rsid w:val="004448EF"/>
    <w:rsid w:val="00444E92"/>
    <w:rsid w:val="00446085"/>
    <w:rsid w:val="00446D49"/>
    <w:rsid w:val="00447138"/>
    <w:rsid w:val="00450A6C"/>
    <w:rsid w:val="00450C63"/>
    <w:rsid w:val="004526E5"/>
    <w:rsid w:val="00452B77"/>
    <w:rsid w:val="004531C0"/>
    <w:rsid w:val="00453C72"/>
    <w:rsid w:val="00453FA0"/>
    <w:rsid w:val="00454A68"/>
    <w:rsid w:val="00454BEB"/>
    <w:rsid w:val="00454C90"/>
    <w:rsid w:val="004550BA"/>
    <w:rsid w:val="00456AE5"/>
    <w:rsid w:val="00456C85"/>
    <w:rsid w:val="00457ADA"/>
    <w:rsid w:val="00460738"/>
    <w:rsid w:val="004610AF"/>
    <w:rsid w:val="0046110B"/>
    <w:rsid w:val="00461392"/>
    <w:rsid w:val="00462178"/>
    <w:rsid w:val="00462192"/>
    <w:rsid w:val="00463C56"/>
    <w:rsid w:val="00464016"/>
    <w:rsid w:val="00464E7C"/>
    <w:rsid w:val="00464F9E"/>
    <w:rsid w:val="004652AF"/>
    <w:rsid w:val="00467946"/>
    <w:rsid w:val="00467E26"/>
    <w:rsid w:val="00470C35"/>
    <w:rsid w:val="00471068"/>
    <w:rsid w:val="00471F51"/>
    <w:rsid w:val="00472177"/>
    <w:rsid w:val="00472266"/>
    <w:rsid w:val="0047360A"/>
    <w:rsid w:val="00473CFD"/>
    <w:rsid w:val="00473D34"/>
    <w:rsid w:val="00474501"/>
    <w:rsid w:val="004753E0"/>
    <w:rsid w:val="00475FC7"/>
    <w:rsid w:val="00476352"/>
    <w:rsid w:val="00476D38"/>
    <w:rsid w:val="00480070"/>
    <w:rsid w:val="00480AF2"/>
    <w:rsid w:val="00481659"/>
    <w:rsid w:val="00482342"/>
    <w:rsid w:val="00482EA1"/>
    <w:rsid w:val="00483085"/>
    <w:rsid w:val="00483705"/>
    <w:rsid w:val="004841AB"/>
    <w:rsid w:val="00484792"/>
    <w:rsid w:val="00484F1E"/>
    <w:rsid w:val="00485111"/>
    <w:rsid w:val="00485294"/>
    <w:rsid w:val="00485346"/>
    <w:rsid w:val="004860B5"/>
    <w:rsid w:val="00486640"/>
    <w:rsid w:val="00486A76"/>
    <w:rsid w:val="004903C6"/>
    <w:rsid w:val="00490613"/>
    <w:rsid w:val="00490F1B"/>
    <w:rsid w:val="00492B4E"/>
    <w:rsid w:val="00493155"/>
    <w:rsid w:val="0049322D"/>
    <w:rsid w:val="00494E70"/>
    <w:rsid w:val="00495683"/>
    <w:rsid w:val="00495F05"/>
    <w:rsid w:val="00496882"/>
    <w:rsid w:val="0049690A"/>
    <w:rsid w:val="00497142"/>
    <w:rsid w:val="004971BA"/>
    <w:rsid w:val="00497F7A"/>
    <w:rsid w:val="004A06FF"/>
    <w:rsid w:val="004A0F23"/>
    <w:rsid w:val="004A172A"/>
    <w:rsid w:val="004A1CC7"/>
    <w:rsid w:val="004A20C8"/>
    <w:rsid w:val="004A2450"/>
    <w:rsid w:val="004A2B41"/>
    <w:rsid w:val="004A2C82"/>
    <w:rsid w:val="004A3AAD"/>
    <w:rsid w:val="004A3B12"/>
    <w:rsid w:val="004A3C73"/>
    <w:rsid w:val="004A3D4F"/>
    <w:rsid w:val="004A446D"/>
    <w:rsid w:val="004A44D9"/>
    <w:rsid w:val="004A470C"/>
    <w:rsid w:val="004A4763"/>
    <w:rsid w:val="004A4CB5"/>
    <w:rsid w:val="004A4F3B"/>
    <w:rsid w:val="004A5850"/>
    <w:rsid w:val="004A63DE"/>
    <w:rsid w:val="004A7520"/>
    <w:rsid w:val="004A7D11"/>
    <w:rsid w:val="004B0DE6"/>
    <w:rsid w:val="004B12EE"/>
    <w:rsid w:val="004B145C"/>
    <w:rsid w:val="004B185B"/>
    <w:rsid w:val="004B28F4"/>
    <w:rsid w:val="004B32A6"/>
    <w:rsid w:val="004B4D3A"/>
    <w:rsid w:val="004B58BA"/>
    <w:rsid w:val="004B5BE8"/>
    <w:rsid w:val="004B5E74"/>
    <w:rsid w:val="004B6425"/>
    <w:rsid w:val="004B675C"/>
    <w:rsid w:val="004B6A81"/>
    <w:rsid w:val="004B6FBC"/>
    <w:rsid w:val="004B78E3"/>
    <w:rsid w:val="004C0056"/>
    <w:rsid w:val="004C00A3"/>
    <w:rsid w:val="004C1112"/>
    <w:rsid w:val="004C1C0B"/>
    <w:rsid w:val="004C1E11"/>
    <w:rsid w:val="004C2407"/>
    <w:rsid w:val="004C259B"/>
    <w:rsid w:val="004C3367"/>
    <w:rsid w:val="004C343C"/>
    <w:rsid w:val="004C4664"/>
    <w:rsid w:val="004C543C"/>
    <w:rsid w:val="004C6359"/>
    <w:rsid w:val="004C6483"/>
    <w:rsid w:val="004C6CC3"/>
    <w:rsid w:val="004C738D"/>
    <w:rsid w:val="004D0522"/>
    <w:rsid w:val="004D2AE9"/>
    <w:rsid w:val="004D3A31"/>
    <w:rsid w:val="004D3C0E"/>
    <w:rsid w:val="004D414B"/>
    <w:rsid w:val="004D54E3"/>
    <w:rsid w:val="004D55D2"/>
    <w:rsid w:val="004D5760"/>
    <w:rsid w:val="004D57F2"/>
    <w:rsid w:val="004D5B3A"/>
    <w:rsid w:val="004D703F"/>
    <w:rsid w:val="004D708F"/>
    <w:rsid w:val="004D788D"/>
    <w:rsid w:val="004E0620"/>
    <w:rsid w:val="004E0713"/>
    <w:rsid w:val="004E0810"/>
    <w:rsid w:val="004E0F59"/>
    <w:rsid w:val="004E2989"/>
    <w:rsid w:val="004E3069"/>
    <w:rsid w:val="004E372C"/>
    <w:rsid w:val="004E3D10"/>
    <w:rsid w:val="004E48E4"/>
    <w:rsid w:val="004E6BD3"/>
    <w:rsid w:val="004E6BFE"/>
    <w:rsid w:val="004E7D25"/>
    <w:rsid w:val="004E7D71"/>
    <w:rsid w:val="004F0425"/>
    <w:rsid w:val="004F0BE2"/>
    <w:rsid w:val="004F1D01"/>
    <w:rsid w:val="004F34B0"/>
    <w:rsid w:val="004F390E"/>
    <w:rsid w:val="004F3A80"/>
    <w:rsid w:val="004F713E"/>
    <w:rsid w:val="004F792F"/>
    <w:rsid w:val="0050144F"/>
    <w:rsid w:val="0050167A"/>
    <w:rsid w:val="00501815"/>
    <w:rsid w:val="00503109"/>
    <w:rsid w:val="0050335B"/>
    <w:rsid w:val="00503943"/>
    <w:rsid w:val="00504A5D"/>
    <w:rsid w:val="00505A4D"/>
    <w:rsid w:val="00505FDD"/>
    <w:rsid w:val="0050629F"/>
    <w:rsid w:val="0050764A"/>
    <w:rsid w:val="005078C2"/>
    <w:rsid w:val="00510ED6"/>
    <w:rsid w:val="005111C2"/>
    <w:rsid w:val="00511CBC"/>
    <w:rsid w:val="00512CD2"/>
    <w:rsid w:val="00512DC7"/>
    <w:rsid w:val="00513B15"/>
    <w:rsid w:val="00514194"/>
    <w:rsid w:val="00514322"/>
    <w:rsid w:val="005143FD"/>
    <w:rsid w:val="00514ADF"/>
    <w:rsid w:val="00514F48"/>
    <w:rsid w:val="00514F6F"/>
    <w:rsid w:val="005153DF"/>
    <w:rsid w:val="00516587"/>
    <w:rsid w:val="00516766"/>
    <w:rsid w:val="00517CED"/>
    <w:rsid w:val="005209EA"/>
    <w:rsid w:val="0052118D"/>
    <w:rsid w:val="005212B1"/>
    <w:rsid w:val="005214B3"/>
    <w:rsid w:val="00522811"/>
    <w:rsid w:val="00522DC2"/>
    <w:rsid w:val="00522F8F"/>
    <w:rsid w:val="005234FC"/>
    <w:rsid w:val="0052364D"/>
    <w:rsid w:val="00523749"/>
    <w:rsid w:val="00523957"/>
    <w:rsid w:val="00523E39"/>
    <w:rsid w:val="00524276"/>
    <w:rsid w:val="005244BC"/>
    <w:rsid w:val="00524888"/>
    <w:rsid w:val="00524D78"/>
    <w:rsid w:val="00525E6A"/>
    <w:rsid w:val="00525FAA"/>
    <w:rsid w:val="005261E8"/>
    <w:rsid w:val="00527021"/>
    <w:rsid w:val="00530FF0"/>
    <w:rsid w:val="0053133C"/>
    <w:rsid w:val="00531BD0"/>
    <w:rsid w:val="00532708"/>
    <w:rsid w:val="00532A42"/>
    <w:rsid w:val="00532DE9"/>
    <w:rsid w:val="00533A52"/>
    <w:rsid w:val="00533D83"/>
    <w:rsid w:val="00534B41"/>
    <w:rsid w:val="00534C02"/>
    <w:rsid w:val="005352F8"/>
    <w:rsid w:val="00535800"/>
    <w:rsid w:val="0053593F"/>
    <w:rsid w:val="005367B5"/>
    <w:rsid w:val="005378B6"/>
    <w:rsid w:val="00537F0D"/>
    <w:rsid w:val="00542E5D"/>
    <w:rsid w:val="00544C22"/>
    <w:rsid w:val="00546936"/>
    <w:rsid w:val="005477F9"/>
    <w:rsid w:val="005479F7"/>
    <w:rsid w:val="0055030A"/>
    <w:rsid w:val="005505FD"/>
    <w:rsid w:val="00550C7F"/>
    <w:rsid w:val="00550E14"/>
    <w:rsid w:val="005518FC"/>
    <w:rsid w:val="00551A7E"/>
    <w:rsid w:val="00552D72"/>
    <w:rsid w:val="0055303F"/>
    <w:rsid w:val="0055365A"/>
    <w:rsid w:val="00553839"/>
    <w:rsid w:val="00553A9D"/>
    <w:rsid w:val="0055568E"/>
    <w:rsid w:val="00555E6E"/>
    <w:rsid w:val="005575E9"/>
    <w:rsid w:val="00557EC0"/>
    <w:rsid w:val="00560000"/>
    <w:rsid w:val="0056035F"/>
    <w:rsid w:val="00560920"/>
    <w:rsid w:val="00560B9C"/>
    <w:rsid w:val="005611F5"/>
    <w:rsid w:val="005615A6"/>
    <w:rsid w:val="0056393A"/>
    <w:rsid w:val="005639C1"/>
    <w:rsid w:val="00563A8B"/>
    <w:rsid w:val="00564945"/>
    <w:rsid w:val="00564A52"/>
    <w:rsid w:val="00564CDC"/>
    <w:rsid w:val="00564D62"/>
    <w:rsid w:val="00564D65"/>
    <w:rsid w:val="00564DDE"/>
    <w:rsid w:val="00564FB6"/>
    <w:rsid w:val="00566286"/>
    <w:rsid w:val="00567787"/>
    <w:rsid w:val="00567926"/>
    <w:rsid w:val="00567A6E"/>
    <w:rsid w:val="00567D7B"/>
    <w:rsid w:val="0057039B"/>
    <w:rsid w:val="0057075E"/>
    <w:rsid w:val="00570987"/>
    <w:rsid w:val="005709CD"/>
    <w:rsid w:val="00570A2C"/>
    <w:rsid w:val="00570C73"/>
    <w:rsid w:val="005713AC"/>
    <w:rsid w:val="005724B5"/>
    <w:rsid w:val="00573352"/>
    <w:rsid w:val="005738EB"/>
    <w:rsid w:val="00573DBA"/>
    <w:rsid w:val="005741C6"/>
    <w:rsid w:val="00576609"/>
    <w:rsid w:val="00576C4F"/>
    <w:rsid w:val="00576F32"/>
    <w:rsid w:val="0057713F"/>
    <w:rsid w:val="005773A7"/>
    <w:rsid w:val="005777AA"/>
    <w:rsid w:val="00577C76"/>
    <w:rsid w:val="00580DB5"/>
    <w:rsid w:val="00580F8F"/>
    <w:rsid w:val="00581076"/>
    <w:rsid w:val="005817EC"/>
    <w:rsid w:val="00582AAB"/>
    <w:rsid w:val="00583E7B"/>
    <w:rsid w:val="00584574"/>
    <w:rsid w:val="005845DC"/>
    <w:rsid w:val="00584CED"/>
    <w:rsid w:val="005859AE"/>
    <w:rsid w:val="0058688B"/>
    <w:rsid w:val="0058743F"/>
    <w:rsid w:val="00587D63"/>
    <w:rsid w:val="005903D0"/>
    <w:rsid w:val="00590589"/>
    <w:rsid w:val="0059139D"/>
    <w:rsid w:val="00593EBE"/>
    <w:rsid w:val="00594B25"/>
    <w:rsid w:val="005956AC"/>
    <w:rsid w:val="0059605D"/>
    <w:rsid w:val="00597D28"/>
    <w:rsid w:val="00597F0A"/>
    <w:rsid w:val="005A01B1"/>
    <w:rsid w:val="005A02D2"/>
    <w:rsid w:val="005A064B"/>
    <w:rsid w:val="005A0763"/>
    <w:rsid w:val="005A14D8"/>
    <w:rsid w:val="005A1A70"/>
    <w:rsid w:val="005A225C"/>
    <w:rsid w:val="005A2C87"/>
    <w:rsid w:val="005A2E0A"/>
    <w:rsid w:val="005A3087"/>
    <w:rsid w:val="005A33BA"/>
    <w:rsid w:val="005A5019"/>
    <w:rsid w:val="005A5CBD"/>
    <w:rsid w:val="005A5D08"/>
    <w:rsid w:val="005A5F52"/>
    <w:rsid w:val="005A7D5A"/>
    <w:rsid w:val="005B00FA"/>
    <w:rsid w:val="005B03EE"/>
    <w:rsid w:val="005B0A30"/>
    <w:rsid w:val="005B10FD"/>
    <w:rsid w:val="005B117D"/>
    <w:rsid w:val="005B127F"/>
    <w:rsid w:val="005B2A3D"/>
    <w:rsid w:val="005B2CD3"/>
    <w:rsid w:val="005B36C2"/>
    <w:rsid w:val="005B4B2F"/>
    <w:rsid w:val="005B5536"/>
    <w:rsid w:val="005B5724"/>
    <w:rsid w:val="005B6300"/>
    <w:rsid w:val="005B75C0"/>
    <w:rsid w:val="005B7A76"/>
    <w:rsid w:val="005C006C"/>
    <w:rsid w:val="005C0661"/>
    <w:rsid w:val="005C39E7"/>
    <w:rsid w:val="005C43AF"/>
    <w:rsid w:val="005C4F5A"/>
    <w:rsid w:val="005C5037"/>
    <w:rsid w:val="005C536F"/>
    <w:rsid w:val="005C5533"/>
    <w:rsid w:val="005C66C0"/>
    <w:rsid w:val="005C66C6"/>
    <w:rsid w:val="005C66EA"/>
    <w:rsid w:val="005C6888"/>
    <w:rsid w:val="005C6912"/>
    <w:rsid w:val="005C7003"/>
    <w:rsid w:val="005C773C"/>
    <w:rsid w:val="005C78CF"/>
    <w:rsid w:val="005D0255"/>
    <w:rsid w:val="005D06A1"/>
    <w:rsid w:val="005D09E6"/>
    <w:rsid w:val="005D0AAC"/>
    <w:rsid w:val="005D1BB7"/>
    <w:rsid w:val="005D2366"/>
    <w:rsid w:val="005D2BE2"/>
    <w:rsid w:val="005D2CE9"/>
    <w:rsid w:val="005D2DA1"/>
    <w:rsid w:val="005D3F21"/>
    <w:rsid w:val="005D4ADA"/>
    <w:rsid w:val="005D4B90"/>
    <w:rsid w:val="005D4DF0"/>
    <w:rsid w:val="005D4E3A"/>
    <w:rsid w:val="005D52D9"/>
    <w:rsid w:val="005D65BE"/>
    <w:rsid w:val="005D699E"/>
    <w:rsid w:val="005D6F31"/>
    <w:rsid w:val="005E03E3"/>
    <w:rsid w:val="005E07A6"/>
    <w:rsid w:val="005E1920"/>
    <w:rsid w:val="005E1D40"/>
    <w:rsid w:val="005E42BD"/>
    <w:rsid w:val="005E5247"/>
    <w:rsid w:val="005E6AB7"/>
    <w:rsid w:val="005F0BE4"/>
    <w:rsid w:val="005F0CF3"/>
    <w:rsid w:val="005F12A7"/>
    <w:rsid w:val="005F3E9F"/>
    <w:rsid w:val="005F3EC9"/>
    <w:rsid w:val="005F5226"/>
    <w:rsid w:val="005F6ADE"/>
    <w:rsid w:val="006004CA"/>
    <w:rsid w:val="0060056A"/>
    <w:rsid w:val="00600A2A"/>
    <w:rsid w:val="00601C05"/>
    <w:rsid w:val="00601D44"/>
    <w:rsid w:val="00601E5A"/>
    <w:rsid w:val="006026FE"/>
    <w:rsid w:val="00603185"/>
    <w:rsid w:val="0060363B"/>
    <w:rsid w:val="00603D8F"/>
    <w:rsid w:val="00603F3F"/>
    <w:rsid w:val="00604357"/>
    <w:rsid w:val="00605112"/>
    <w:rsid w:val="00605DDE"/>
    <w:rsid w:val="00606E8B"/>
    <w:rsid w:val="00606FE5"/>
    <w:rsid w:val="0060720D"/>
    <w:rsid w:val="006077D7"/>
    <w:rsid w:val="00607CE9"/>
    <w:rsid w:val="00610E0B"/>
    <w:rsid w:val="006111B4"/>
    <w:rsid w:val="006116E9"/>
    <w:rsid w:val="00611CA6"/>
    <w:rsid w:val="00612877"/>
    <w:rsid w:val="00612B7E"/>
    <w:rsid w:val="00614CEF"/>
    <w:rsid w:val="00614E72"/>
    <w:rsid w:val="006153E0"/>
    <w:rsid w:val="00620375"/>
    <w:rsid w:val="00620A8F"/>
    <w:rsid w:val="00620DCB"/>
    <w:rsid w:val="00621191"/>
    <w:rsid w:val="006215E3"/>
    <w:rsid w:val="00622808"/>
    <w:rsid w:val="00622986"/>
    <w:rsid w:val="006241F6"/>
    <w:rsid w:val="0062423B"/>
    <w:rsid w:val="00624307"/>
    <w:rsid w:val="00624674"/>
    <w:rsid w:val="006265C6"/>
    <w:rsid w:val="0062700F"/>
    <w:rsid w:val="00627D16"/>
    <w:rsid w:val="00630A2C"/>
    <w:rsid w:val="00632100"/>
    <w:rsid w:val="00632229"/>
    <w:rsid w:val="006323C4"/>
    <w:rsid w:val="006326EB"/>
    <w:rsid w:val="00633314"/>
    <w:rsid w:val="006337B0"/>
    <w:rsid w:val="00634834"/>
    <w:rsid w:val="0063483E"/>
    <w:rsid w:val="00636C50"/>
    <w:rsid w:val="0063720E"/>
    <w:rsid w:val="00637491"/>
    <w:rsid w:val="006376F8"/>
    <w:rsid w:val="00637773"/>
    <w:rsid w:val="00637D1D"/>
    <w:rsid w:val="006414A5"/>
    <w:rsid w:val="00641A94"/>
    <w:rsid w:val="006467ED"/>
    <w:rsid w:val="00646A48"/>
    <w:rsid w:val="00646BB2"/>
    <w:rsid w:val="00646F72"/>
    <w:rsid w:val="006516F3"/>
    <w:rsid w:val="00651F96"/>
    <w:rsid w:val="006527E1"/>
    <w:rsid w:val="00652BBB"/>
    <w:rsid w:val="00652D42"/>
    <w:rsid w:val="0065335F"/>
    <w:rsid w:val="006535AF"/>
    <w:rsid w:val="006537A3"/>
    <w:rsid w:val="00654CB3"/>
    <w:rsid w:val="006557AC"/>
    <w:rsid w:val="00656197"/>
    <w:rsid w:val="0065641C"/>
    <w:rsid w:val="006569E0"/>
    <w:rsid w:val="00656B84"/>
    <w:rsid w:val="00657389"/>
    <w:rsid w:val="00657681"/>
    <w:rsid w:val="00657815"/>
    <w:rsid w:val="006615B7"/>
    <w:rsid w:val="00661F8E"/>
    <w:rsid w:val="0066311C"/>
    <w:rsid w:val="00664362"/>
    <w:rsid w:val="006657FD"/>
    <w:rsid w:val="006672EF"/>
    <w:rsid w:val="00667749"/>
    <w:rsid w:val="00667D3C"/>
    <w:rsid w:val="006703EC"/>
    <w:rsid w:val="00671DA8"/>
    <w:rsid w:val="00671DD5"/>
    <w:rsid w:val="00671EF2"/>
    <w:rsid w:val="00672073"/>
    <w:rsid w:val="00672E79"/>
    <w:rsid w:val="006738BF"/>
    <w:rsid w:val="00673F32"/>
    <w:rsid w:val="0067400B"/>
    <w:rsid w:val="0067421A"/>
    <w:rsid w:val="00674307"/>
    <w:rsid w:val="00674896"/>
    <w:rsid w:val="00674B34"/>
    <w:rsid w:val="0067676F"/>
    <w:rsid w:val="00676FDF"/>
    <w:rsid w:val="0067790E"/>
    <w:rsid w:val="00677C49"/>
    <w:rsid w:val="00680152"/>
    <w:rsid w:val="006809B1"/>
    <w:rsid w:val="00680A29"/>
    <w:rsid w:val="00681413"/>
    <w:rsid w:val="00681928"/>
    <w:rsid w:val="00681DB9"/>
    <w:rsid w:val="00682919"/>
    <w:rsid w:val="00683A4A"/>
    <w:rsid w:val="0068474B"/>
    <w:rsid w:val="0068520F"/>
    <w:rsid w:val="006859F6"/>
    <w:rsid w:val="00685A09"/>
    <w:rsid w:val="00686C50"/>
    <w:rsid w:val="006905AD"/>
    <w:rsid w:val="00690A12"/>
    <w:rsid w:val="00691F42"/>
    <w:rsid w:val="0069205A"/>
    <w:rsid w:val="00692B77"/>
    <w:rsid w:val="00692E2A"/>
    <w:rsid w:val="00693179"/>
    <w:rsid w:val="006933EB"/>
    <w:rsid w:val="0069374E"/>
    <w:rsid w:val="00693834"/>
    <w:rsid w:val="0069543E"/>
    <w:rsid w:val="00695E92"/>
    <w:rsid w:val="006969F0"/>
    <w:rsid w:val="00696F2A"/>
    <w:rsid w:val="006973E5"/>
    <w:rsid w:val="00697D08"/>
    <w:rsid w:val="00697E03"/>
    <w:rsid w:val="006A06DE"/>
    <w:rsid w:val="006A095B"/>
    <w:rsid w:val="006A1288"/>
    <w:rsid w:val="006A2522"/>
    <w:rsid w:val="006A262D"/>
    <w:rsid w:val="006A282C"/>
    <w:rsid w:val="006A2B15"/>
    <w:rsid w:val="006A4D92"/>
    <w:rsid w:val="006A5994"/>
    <w:rsid w:val="006A5E47"/>
    <w:rsid w:val="006A79DC"/>
    <w:rsid w:val="006A7BDC"/>
    <w:rsid w:val="006B043D"/>
    <w:rsid w:val="006B24EA"/>
    <w:rsid w:val="006B24FB"/>
    <w:rsid w:val="006B2582"/>
    <w:rsid w:val="006B4575"/>
    <w:rsid w:val="006B464B"/>
    <w:rsid w:val="006B49A0"/>
    <w:rsid w:val="006B4AB3"/>
    <w:rsid w:val="006B5E9F"/>
    <w:rsid w:val="006B61CE"/>
    <w:rsid w:val="006B62A2"/>
    <w:rsid w:val="006B6866"/>
    <w:rsid w:val="006B7930"/>
    <w:rsid w:val="006C0175"/>
    <w:rsid w:val="006C0D4C"/>
    <w:rsid w:val="006C1A2F"/>
    <w:rsid w:val="006C2208"/>
    <w:rsid w:val="006C2890"/>
    <w:rsid w:val="006C3A37"/>
    <w:rsid w:val="006C4100"/>
    <w:rsid w:val="006C4FA8"/>
    <w:rsid w:val="006C509C"/>
    <w:rsid w:val="006C6D05"/>
    <w:rsid w:val="006C7671"/>
    <w:rsid w:val="006D0A68"/>
    <w:rsid w:val="006D0E93"/>
    <w:rsid w:val="006D1DF3"/>
    <w:rsid w:val="006D2375"/>
    <w:rsid w:val="006D24B8"/>
    <w:rsid w:val="006D250A"/>
    <w:rsid w:val="006D2B8A"/>
    <w:rsid w:val="006D2BF6"/>
    <w:rsid w:val="006D35C9"/>
    <w:rsid w:val="006D3BF2"/>
    <w:rsid w:val="006D3E80"/>
    <w:rsid w:val="006D4524"/>
    <w:rsid w:val="006D4BD2"/>
    <w:rsid w:val="006D5362"/>
    <w:rsid w:val="006D6758"/>
    <w:rsid w:val="006D6867"/>
    <w:rsid w:val="006D78C8"/>
    <w:rsid w:val="006E0A48"/>
    <w:rsid w:val="006E0E3C"/>
    <w:rsid w:val="006E17A2"/>
    <w:rsid w:val="006E18B4"/>
    <w:rsid w:val="006E1B35"/>
    <w:rsid w:val="006E1FEB"/>
    <w:rsid w:val="006E21EA"/>
    <w:rsid w:val="006E2AC9"/>
    <w:rsid w:val="006E2F64"/>
    <w:rsid w:val="006E3553"/>
    <w:rsid w:val="006E376D"/>
    <w:rsid w:val="006E3C0D"/>
    <w:rsid w:val="006E4E16"/>
    <w:rsid w:val="006E4FA8"/>
    <w:rsid w:val="006E546D"/>
    <w:rsid w:val="006E5D28"/>
    <w:rsid w:val="006E6582"/>
    <w:rsid w:val="006E65F7"/>
    <w:rsid w:val="006E70D8"/>
    <w:rsid w:val="006E715E"/>
    <w:rsid w:val="006E7A23"/>
    <w:rsid w:val="006F0186"/>
    <w:rsid w:val="006F077E"/>
    <w:rsid w:val="006F15A2"/>
    <w:rsid w:val="006F1BEA"/>
    <w:rsid w:val="006F1D05"/>
    <w:rsid w:val="006F293E"/>
    <w:rsid w:val="006F4193"/>
    <w:rsid w:val="006F65E6"/>
    <w:rsid w:val="006F6852"/>
    <w:rsid w:val="006F7D68"/>
    <w:rsid w:val="006F7DB0"/>
    <w:rsid w:val="006F7DC6"/>
    <w:rsid w:val="0070096C"/>
    <w:rsid w:val="00701007"/>
    <w:rsid w:val="0070141D"/>
    <w:rsid w:val="00701880"/>
    <w:rsid w:val="00701DB6"/>
    <w:rsid w:val="00701EAD"/>
    <w:rsid w:val="007026F5"/>
    <w:rsid w:val="00704A8F"/>
    <w:rsid w:val="00705451"/>
    <w:rsid w:val="007057EC"/>
    <w:rsid w:val="007058C8"/>
    <w:rsid w:val="00705B77"/>
    <w:rsid w:val="0070799D"/>
    <w:rsid w:val="0071040C"/>
    <w:rsid w:val="0071041C"/>
    <w:rsid w:val="007104C1"/>
    <w:rsid w:val="0071145C"/>
    <w:rsid w:val="0071207E"/>
    <w:rsid w:val="00713A05"/>
    <w:rsid w:val="00713AF5"/>
    <w:rsid w:val="00713DD6"/>
    <w:rsid w:val="0071425D"/>
    <w:rsid w:val="0071559E"/>
    <w:rsid w:val="007159E1"/>
    <w:rsid w:val="0071668A"/>
    <w:rsid w:val="00716FA6"/>
    <w:rsid w:val="00717A81"/>
    <w:rsid w:val="007202EC"/>
    <w:rsid w:val="00720734"/>
    <w:rsid w:val="00720D5E"/>
    <w:rsid w:val="00721015"/>
    <w:rsid w:val="00721E35"/>
    <w:rsid w:val="00722798"/>
    <w:rsid w:val="0072285B"/>
    <w:rsid w:val="00723C87"/>
    <w:rsid w:val="007255E3"/>
    <w:rsid w:val="00725616"/>
    <w:rsid w:val="0072637E"/>
    <w:rsid w:val="007264BE"/>
    <w:rsid w:val="007267F1"/>
    <w:rsid w:val="00727119"/>
    <w:rsid w:val="00727216"/>
    <w:rsid w:val="00727537"/>
    <w:rsid w:val="007309C3"/>
    <w:rsid w:val="00731544"/>
    <w:rsid w:val="007319E3"/>
    <w:rsid w:val="007337FA"/>
    <w:rsid w:val="00734B5A"/>
    <w:rsid w:val="007362FD"/>
    <w:rsid w:val="0073632C"/>
    <w:rsid w:val="00736463"/>
    <w:rsid w:val="0073653C"/>
    <w:rsid w:val="007373B6"/>
    <w:rsid w:val="0074072A"/>
    <w:rsid w:val="00741080"/>
    <w:rsid w:val="00741B8F"/>
    <w:rsid w:val="00741FB9"/>
    <w:rsid w:val="007424C7"/>
    <w:rsid w:val="00742A8A"/>
    <w:rsid w:val="00743002"/>
    <w:rsid w:val="00743D5D"/>
    <w:rsid w:val="0074462F"/>
    <w:rsid w:val="00744BE4"/>
    <w:rsid w:val="00745183"/>
    <w:rsid w:val="00745C57"/>
    <w:rsid w:val="0074740D"/>
    <w:rsid w:val="0074745F"/>
    <w:rsid w:val="00747B96"/>
    <w:rsid w:val="00747D36"/>
    <w:rsid w:val="00750009"/>
    <w:rsid w:val="007504AE"/>
    <w:rsid w:val="007510AA"/>
    <w:rsid w:val="00752B97"/>
    <w:rsid w:val="00754E88"/>
    <w:rsid w:val="007556DB"/>
    <w:rsid w:val="0075710E"/>
    <w:rsid w:val="0076052C"/>
    <w:rsid w:val="00760B29"/>
    <w:rsid w:val="007614BB"/>
    <w:rsid w:val="00761E1F"/>
    <w:rsid w:val="007627E0"/>
    <w:rsid w:val="00762D93"/>
    <w:rsid w:val="007636F1"/>
    <w:rsid w:val="007637F6"/>
    <w:rsid w:val="00763C0A"/>
    <w:rsid w:val="00763C22"/>
    <w:rsid w:val="00763F89"/>
    <w:rsid w:val="007643F0"/>
    <w:rsid w:val="00764CD2"/>
    <w:rsid w:val="007654FE"/>
    <w:rsid w:val="00765B80"/>
    <w:rsid w:val="00765F59"/>
    <w:rsid w:val="00766F6B"/>
    <w:rsid w:val="007706FC"/>
    <w:rsid w:val="00770AD6"/>
    <w:rsid w:val="00770C88"/>
    <w:rsid w:val="00771495"/>
    <w:rsid w:val="00771951"/>
    <w:rsid w:val="00772539"/>
    <w:rsid w:val="00772FB8"/>
    <w:rsid w:val="007733FC"/>
    <w:rsid w:val="00773FE1"/>
    <w:rsid w:val="00774812"/>
    <w:rsid w:val="00775382"/>
    <w:rsid w:val="00780B4A"/>
    <w:rsid w:val="0078149C"/>
    <w:rsid w:val="00783772"/>
    <w:rsid w:val="007841E3"/>
    <w:rsid w:val="0078423D"/>
    <w:rsid w:val="00784BD5"/>
    <w:rsid w:val="00785887"/>
    <w:rsid w:val="00785A81"/>
    <w:rsid w:val="00785C73"/>
    <w:rsid w:val="007863A1"/>
    <w:rsid w:val="007867CE"/>
    <w:rsid w:val="0078680E"/>
    <w:rsid w:val="007874E6"/>
    <w:rsid w:val="007875E0"/>
    <w:rsid w:val="00790E69"/>
    <w:rsid w:val="0079148E"/>
    <w:rsid w:val="0079183D"/>
    <w:rsid w:val="00791B35"/>
    <w:rsid w:val="00791C9E"/>
    <w:rsid w:val="00791CFC"/>
    <w:rsid w:val="00791F65"/>
    <w:rsid w:val="007921DB"/>
    <w:rsid w:val="007921E4"/>
    <w:rsid w:val="007923C7"/>
    <w:rsid w:val="007926BF"/>
    <w:rsid w:val="00792A48"/>
    <w:rsid w:val="007932CB"/>
    <w:rsid w:val="00793583"/>
    <w:rsid w:val="00793D2A"/>
    <w:rsid w:val="007943C8"/>
    <w:rsid w:val="00794A73"/>
    <w:rsid w:val="00795204"/>
    <w:rsid w:val="00795769"/>
    <w:rsid w:val="00795EF4"/>
    <w:rsid w:val="00795EF9"/>
    <w:rsid w:val="007960AE"/>
    <w:rsid w:val="00796249"/>
    <w:rsid w:val="00796DF3"/>
    <w:rsid w:val="0079737A"/>
    <w:rsid w:val="00797D0B"/>
    <w:rsid w:val="00797D62"/>
    <w:rsid w:val="007A0355"/>
    <w:rsid w:val="007A05A2"/>
    <w:rsid w:val="007A0DA2"/>
    <w:rsid w:val="007A1829"/>
    <w:rsid w:val="007A1841"/>
    <w:rsid w:val="007A21FA"/>
    <w:rsid w:val="007A228B"/>
    <w:rsid w:val="007A32AA"/>
    <w:rsid w:val="007A32FE"/>
    <w:rsid w:val="007A3F3F"/>
    <w:rsid w:val="007A4B15"/>
    <w:rsid w:val="007A4C6B"/>
    <w:rsid w:val="007A4EF3"/>
    <w:rsid w:val="007A5ECB"/>
    <w:rsid w:val="007A6D81"/>
    <w:rsid w:val="007A71EB"/>
    <w:rsid w:val="007A724F"/>
    <w:rsid w:val="007B0D37"/>
    <w:rsid w:val="007B19AB"/>
    <w:rsid w:val="007B2350"/>
    <w:rsid w:val="007B2A35"/>
    <w:rsid w:val="007B4A25"/>
    <w:rsid w:val="007B55F5"/>
    <w:rsid w:val="007B56CF"/>
    <w:rsid w:val="007B5755"/>
    <w:rsid w:val="007B57A3"/>
    <w:rsid w:val="007B59BB"/>
    <w:rsid w:val="007B5FB2"/>
    <w:rsid w:val="007B72EC"/>
    <w:rsid w:val="007B7555"/>
    <w:rsid w:val="007B7A6C"/>
    <w:rsid w:val="007B7E46"/>
    <w:rsid w:val="007C15DA"/>
    <w:rsid w:val="007C1A45"/>
    <w:rsid w:val="007C1DA5"/>
    <w:rsid w:val="007C2458"/>
    <w:rsid w:val="007C24BD"/>
    <w:rsid w:val="007C4348"/>
    <w:rsid w:val="007C541C"/>
    <w:rsid w:val="007C59B8"/>
    <w:rsid w:val="007C5DD8"/>
    <w:rsid w:val="007C716D"/>
    <w:rsid w:val="007C7B03"/>
    <w:rsid w:val="007D04E4"/>
    <w:rsid w:val="007D0678"/>
    <w:rsid w:val="007D1081"/>
    <w:rsid w:val="007D1B85"/>
    <w:rsid w:val="007D21CF"/>
    <w:rsid w:val="007D2354"/>
    <w:rsid w:val="007D34DF"/>
    <w:rsid w:val="007D3AC6"/>
    <w:rsid w:val="007D4374"/>
    <w:rsid w:val="007D6635"/>
    <w:rsid w:val="007D68EB"/>
    <w:rsid w:val="007D74DD"/>
    <w:rsid w:val="007D753A"/>
    <w:rsid w:val="007D797D"/>
    <w:rsid w:val="007D7F00"/>
    <w:rsid w:val="007E04BF"/>
    <w:rsid w:val="007E092F"/>
    <w:rsid w:val="007E0EEC"/>
    <w:rsid w:val="007E1711"/>
    <w:rsid w:val="007E1A6F"/>
    <w:rsid w:val="007E37E4"/>
    <w:rsid w:val="007E44AD"/>
    <w:rsid w:val="007E48F7"/>
    <w:rsid w:val="007E514D"/>
    <w:rsid w:val="007E54A8"/>
    <w:rsid w:val="007E6B75"/>
    <w:rsid w:val="007E718F"/>
    <w:rsid w:val="007E77DA"/>
    <w:rsid w:val="007F13A9"/>
    <w:rsid w:val="007F1B2C"/>
    <w:rsid w:val="007F1E29"/>
    <w:rsid w:val="007F208B"/>
    <w:rsid w:val="007F2609"/>
    <w:rsid w:val="007F325F"/>
    <w:rsid w:val="007F3B24"/>
    <w:rsid w:val="007F48F7"/>
    <w:rsid w:val="007F4F46"/>
    <w:rsid w:val="007F5ACA"/>
    <w:rsid w:val="007F6826"/>
    <w:rsid w:val="007F6C52"/>
    <w:rsid w:val="007F6ECE"/>
    <w:rsid w:val="007F7823"/>
    <w:rsid w:val="00800361"/>
    <w:rsid w:val="00800F4B"/>
    <w:rsid w:val="00801663"/>
    <w:rsid w:val="008019B8"/>
    <w:rsid w:val="00801AB9"/>
    <w:rsid w:val="00801CDB"/>
    <w:rsid w:val="00801E2A"/>
    <w:rsid w:val="00801F11"/>
    <w:rsid w:val="008021FC"/>
    <w:rsid w:val="00802CF4"/>
    <w:rsid w:val="00803279"/>
    <w:rsid w:val="008032C6"/>
    <w:rsid w:val="00804403"/>
    <w:rsid w:val="00805CA7"/>
    <w:rsid w:val="0080666F"/>
    <w:rsid w:val="00806FF4"/>
    <w:rsid w:val="008076CA"/>
    <w:rsid w:val="00810113"/>
    <w:rsid w:val="0081013D"/>
    <w:rsid w:val="0081079B"/>
    <w:rsid w:val="00811146"/>
    <w:rsid w:val="008117A4"/>
    <w:rsid w:val="00811907"/>
    <w:rsid w:val="00811E19"/>
    <w:rsid w:val="0081257A"/>
    <w:rsid w:val="00812AAF"/>
    <w:rsid w:val="00812AD7"/>
    <w:rsid w:val="00812D47"/>
    <w:rsid w:val="00812F45"/>
    <w:rsid w:val="00813242"/>
    <w:rsid w:val="0081450B"/>
    <w:rsid w:val="00814739"/>
    <w:rsid w:val="00814A98"/>
    <w:rsid w:val="00814E75"/>
    <w:rsid w:val="008169BE"/>
    <w:rsid w:val="00816AE7"/>
    <w:rsid w:val="00816CA8"/>
    <w:rsid w:val="00816F28"/>
    <w:rsid w:val="0082197E"/>
    <w:rsid w:val="008219BA"/>
    <w:rsid w:val="00821B6C"/>
    <w:rsid w:val="00823418"/>
    <w:rsid w:val="008238E7"/>
    <w:rsid w:val="00823DCF"/>
    <w:rsid w:val="00823EA2"/>
    <w:rsid w:val="00824BE1"/>
    <w:rsid w:val="00824D41"/>
    <w:rsid w:val="008257EC"/>
    <w:rsid w:val="008259FC"/>
    <w:rsid w:val="00825BCF"/>
    <w:rsid w:val="00825DA9"/>
    <w:rsid w:val="00825F0F"/>
    <w:rsid w:val="00826253"/>
    <w:rsid w:val="00826CE1"/>
    <w:rsid w:val="00826E63"/>
    <w:rsid w:val="00826F41"/>
    <w:rsid w:val="00832BF6"/>
    <w:rsid w:val="00832C0E"/>
    <w:rsid w:val="0083473C"/>
    <w:rsid w:val="00834F75"/>
    <w:rsid w:val="00835045"/>
    <w:rsid w:val="0083590D"/>
    <w:rsid w:val="00835BF9"/>
    <w:rsid w:val="008366D1"/>
    <w:rsid w:val="00836751"/>
    <w:rsid w:val="00837185"/>
    <w:rsid w:val="00837DEA"/>
    <w:rsid w:val="00840FC3"/>
    <w:rsid w:val="008421E6"/>
    <w:rsid w:val="0084340A"/>
    <w:rsid w:val="0084447F"/>
    <w:rsid w:val="008446BC"/>
    <w:rsid w:val="00844BC4"/>
    <w:rsid w:val="00845857"/>
    <w:rsid w:val="00846026"/>
    <w:rsid w:val="00846844"/>
    <w:rsid w:val="0084697D"/>
    <w:rsid w:val="00847837"/>
    <w:rsid w:val="008507B6"/>
    <w:rsid w:val="008520FF"/>
    <w:rsid w:val="0085214D"/>
    <w:rsid w:val="008539DC"/>
    <w:rsid w:val="00853BA2"/>
    <w:rsid w:val="00853FDC"/>
    <w:rsid w:val="00853FF8"/>
    <w:rsid w:val="00854D11"/>
    <w:rsid w:val="00855742"/>
    <w:rsid w:val="008559C4"/>
    <w:rsid w:val="008566D9"/>
    <w:rsid w:val="00856AE6"/>
    <w:rsid w:val="00857EC0"/>
    <w:rsid w:val="0086033A"/>
    <w:rsid w:val="008603BF"/>
    <w:rsid w:val="0086133C"/>
    <w:rsid w:val="0086145F"/>
    <w:rsid w:val="008619DA"/>
    <w:rsid w:val="00861B7A"/>
    <w:rsid w:val="008626A4"/>
    <w:rsid w:val="00862789"/>
    <w:rsid w:val="008644A4"/>
    <w:rsid w:val="0086521B"/>
    <w:rsid w:val="0086544B"/>
    <w:rsid w:val="008659A4"/>
    <w:rsid w:val="00865E77"/>
    <w:rsid w:val="00865FE1"/>
    <w:rsid w:val="008667AD"/>
    <w:rsid w:val="00866E06"/>
    <w:rsid w:val="0086783C"/>
    <w:rsid w:val="00867A43"/>
    <w:rsid w:val="00870720"/>
    <w:rsid w:val="00870A44"/>
    <w:rsid w:val="00871636"/>
    <w:rsid w:val="00871F2E"/>
    <w:rsid w:val="00873372"/>
    <w:rsid w:val="008735EF"/>
    <w:rsid w:val="00873743"/>
    <w:rsid w:val="00873A7F"/>
    <w:rsid w:val="00873DBD"/>
    <w:rsid w:val="00873F61"/>
    <w:rsid w:val="0087453C"/>
    <w:rsid w:val="0087462F"/>
    <w:rsid w:val="008746DE"/>
    <w:rsid w:val="008748AE"/>
    <w:rsid w:val="008749A4"/>
    <w:rsid w:val="00874FAD"/>
    <w:rsid w:val="00875636"/>
    <w:rsid w:val="00875BEA"/>
    <w:rsid w:val="00875CAF"/>
    <w:rsid w:val="00876A2D"/>
    <w:rsid w:val="008819BA"/>
    <w:rsid w:val="00881D62"/>
    <w:rsid w:val="0088237B"/>
    <w:rsid w:val="00882D40"/>
    <w:rsid w:val="00883FA7"/>
    <w:rsid w:val="00883FB1"/>
    <w:rsid w:val="00884990"/>
    <w:rsid w:val="00885377"/>
    <w:rsid w:val="0088556B"/>
    <w:rsid w:val="00885697"/>
    <w:rsid w:val="00885CA0"/>
    <w:rsid w:val="00885F3C"/>
    <w:rsid w:val="008862D5"/>
    <w:rsid w:val="00886BCA"/>
    <w:rsid w:val="0088707D"/>
    <w:rsid w:val="00887D0A"/>
    <w:rsid w:val="0089057F"/>
    <w:rsid w:val="008907B1"/>
    <w:rsid w:val="00890E8B"/>
    <w:rsid w:val="0089138C"/>
    <w:rsid w:val="00891A51"/>
    <w:rsid w:val="00891C13"/>
    <w:rsid w:val="00892241"/>
    <w:rsid w:val="00892B3A"/>
    <w:rsid w:val="0089413B"/>
    <w:rsid w:val="00894C76"/>
    <w:rsid w:val="00895363"/>
    <w:rsid w:val="0089562B"/>
    <w:rsid w:val="00895FDE"/>
    <w:rsid w:val="008960EF"/>
    <w:rsid w:val="00896EE7"/>
    <w:rsid w:val="008978BC"/>
    <w:rsid w:val="00897F69"/>
    <w:rsid w:val="008A0021"/>
    <w:rsid w:val="008A00C3"/>
    <w:rsid w:val="008A026A"/>
    <w:rsid w:val="008A0569"/>
    <w:rsid w:val="008A0D4C"/>
    <w:rsid w:val="008A0F56"/>
    <w:rsid w:val="008A0FC8"/>
    <w:rsid w:val="008A33D5"/>
    <w:rsid w:val="008A3A84"/>
    <w:rsid w:val="008A3C19"/>
    <w:rsid w:val="008A44F3"/>
    <w:rsid w:val="008A46E8"/>
    <w:rsid w:val="008A5CA4"/>
    <w:rsid w:val="008A7074"/>
    <w:rsid w:val="008B1059"/>
    <w:rsid w:val="008B162B"/>
    <w:rsid w:val="008B1655"/>
    <w:rsid w:val="008B16F1"/>
    <w:rsid w:val="008B1842"/>
    <w:rsid w:val="008B2779"/>
    <w:rsid w:val="008B3928"/>
    <w:rsid w:val="008B40D3"/>
    <w:rsid w:val="008B4259"/>
    <w:rsid w:val="008B4A07"/>
    <w:rsid w:val="008B535E"/>
    <w:rsid w:val="008B6877"/>
    <w:rsid w:val="008B6DE5"/>
    <w:rsid w:val="008B7D50"/>
    <w:rsid w:val="008B7F0E"/>
    <w:rsid w:val="008C00F9"/>
    <w:rsid w:val="008C0572"/>
    <w:rsid w:val="008C0DD1"/>
    <w:rsid w:val="008C28CD"/>
    <w:rsid w:val="008C2F0A"/>
    <w:rsid w:val="008C37D0"/>
    <w:rsid w:val="008C3EFF"/>
    <w:rsid w:val="008C3FBF"/>
    <w:rsid w:val="008C4292"/>
    <w:rsid w:val="008C4B0D"/>
    <w:rsid w:val="008C5501"/>
    <w:rsid w:val="008C56B2"/>
    <w:rsid w:val="008C56BA"/>
    <w:rsid w:val="008C5DE7"/>
    <w:rsid w:val="008C654B"/>
    <w:rsid w:val="008C6855"/>
    <w:rsid w:val="008C6ACD"/>
    <w:rsid w:val="008C6E94"/>
    <w:rsid w:val="008C6F35"/>
    <w:rsid w:val="008C753B"/>
    <w:rsid w:val="008C7C2E"/>
    <w:rsid w:val="008D0459"/>
    <w:rsid w:val="008D04A4"/>
    <w:rsid w:val="008D07F5"/>
    <w:rsid w:val="008D09FF"/>
    <w:rsid w:val="008D10F0"/>
    <w:rsid w:val="008D2B9F"/>
    <w:rsid w:val="008D34FF"/>
    <w:rsid w:val="008D3E31"/>
    <w:rsid w:val="008D4042"/>
    <w:rsid w:val="008D4188"/>
    <w:rsid w:val="008D4DDA"/>
    <w:rsid w:val="008D5AD9"/>
    <w:rsid w:val="008D5CAA"/>
    <w:rsid w:val="008D5F16"/>
    <w:rsid w:val="008D65A3"/>
    <w:rsid w:val="008D6853"/>
    <w:rsid w:val="008E064F"/>
    <w:rsid w:val="008E1E6A"/>
    <w:rsid w:val="008E2A71"/>
    <w:rsid w:val="008E3A35"/>
    <w:rsid w:val="008E3BA5"/>
    <w:rsid w:val="008E56BA"/>
    <w:rsid w:val="008E6522"/>
    <w:rsid w:val="008E785F"/>
    <w:rsid w:val="008E7A89"/>
    <w:rsid w:val="008F1BCF"/>
    <w:rsid w:val="008F243E"/>
    <w:rsid w:val="008F2C44"/>
    <w:rsid w:val="008F2DDC"/>
    <w:rsid w:val="008F4697"/>
    <w:rsid w:val="008F4866"/>
    <w:rsid w:val="008F55F5"/>
    <w:rsid w:val="008F6BB7"/>
    <w:rsid w:val="008F6D4D"/>
    <w:rsid w:val="008F700A"/>
    <w:rsid w:val="008F7032"/>
    <w:rsid w:val="008F750B"/>
    <w:rsid w:val="008F750E"/>
    <w:rsid w:val="008F7A65"/>
    <w:rsid w:val="008F7D15"/>
    <w:rsid w:val="009004BA"/>
    <w:rsid w:val="00900747"/>
    <w:rsid w:val="00900837"/>
    <w:rsid w:val="00900AA7"/>
    <w:rsid w:val="009014F3"/>
    <w:rsid w:val="009018C6"/>
    <w:rsid w:val="00901FCE"/>
    <w:rsid w:val="009022D4"/>
    <w:rsid w:val="00902D08"/>
    <w:rsid w:val="00904156"/>
    <w:rsid w:val="00905EFB"/>
    <w:rsid w:val="00906041"/>
    <w:rsid w:val="00906472"/>
    <w:rsid w:val="00907D7D"/>
    <w:rsid w:val="00910C84"/>
    <w:rsid w:val="00910E2F"/>
    <w:rsid w:val="0091296E"/>
    <w:rsid w:val="00914EB0"/>
    <w:rsid w:val="009151B6"/>
    <w:rsid w:val="00916829"/>
    <w:rsid w:val="00916C31"/>
    <w:rsid w:val="009170FA"/>
    <w:rsid w:val="009177F2"/>
    <w:rsid w:val="00917B9A"/>
    <w:rsid w:val="00917D82"/>
    <w:rsid w:val="0092096A"/>
    <w:rsid w:val="00920C1E"/>
    <w:rsid w:val="00920DA8"/>
    <w:rsid w:val="00921958"/>
    <w:rsid w:val="009238FF"/>
    <w:rsid w:val="0092397B"/>
    <w:rsid w:val="009246F6"/>
    <w:rsid w:val="00925069"/>
    <w:rsid w:val="0092534F"/>
    <w:rsid w:val="009256EF"/>
    <w:rsid w:val="009260E3"/>
    <w:rsid w:val="00927BC3"/>
    <w:rsid w:val="00927C21"/>
    <w:rsid w:val="009300D2"/>
    <w:rsid w:val="00930356"/>
    <w:rsid w:val="00930A68"/>
    <w:rsid w:val="00931108"/>
    <w:rsid w:val="0093137F"/>
    <w:rsid w:val="009315A2"/>
    <w:rsid w:val="00931AD6"/>
    <w:rsid w:val="00932282"/>
    <w:rsid w:val="00932330"/>
    <w:rsid w:val="009324C4"/>
    <w:rsid w:val="00932584"/>
    <w:rsid w:val="00932EE3"/>
    <w:rsid w:val="009342C0"/>
    <w:rsid w:val="00934567"/>
    <w:rsid w:val="009347C4"/>
    <w:rsid w:val="009359C9"/>
    <w:rsid w:val="00936297"/>
    <w:rsid w:val="009362B2"/>
    <w:rsid w:val="00940236"/>
    <w:rsid w:val="009402B8"/>
    <w:rsid w:val="00940C39"/>
    <w:rsid w:val="00940E11"/>
    <w:rsid w:val="00941C19"/>
    <w:rsid w:val="00941DB5"/>
    <w:rsid w:val="00941E85"/>
    <w:rsid w:val="0094236F"/>
    <w:rsid w:val="00943205"/>
    <w:rsid w:val="009436D0"/>
    <w:rsid w:val="009447E4"/>
    <w:rsid w:val="0094490A"/>
    <w:rsid w:val="00946B4B"/>
    <w:rsid w:val="009477E5"/>
    <w:rsid w:val="00947C6A"/>
    <w:rsid w:val="009504B1"/>
    <w:rsid w:val="0095180C"/>
    <w:rsid w:val="00952276"/>
    <w:rsid w:val="00952855"/>
    <w:rsid w:val="009529D4"/>
    <w:rsid w:val="00952A53"/>
    <w:rsid w:val="00952B28"/>
    <w:rsid w:val="00952E10"/>
    <w:rsid w:val="00952ED7"/>
    <w:rsid w:val="0095503B"/>
    <w:rsid w:val="00955D6E"/>
    <w:rsid w:val="00956B88"/>
    <w:rsid w:val="00956E14"/>
    <w:rsid w:val="009579B5"/>
    <w:rsid w:val="00957A06"/>
    <w:rsid w:val="00957C33"/>
    <w:rsid w:val="0096058C"/>
    <w:rsid w:val="009636AE"/>
    <w:rsid w:val="009642C8"/>
    <w:rsid w:val="00964553"/>
    <w:rsid w:val="00964C67"/>
    <w:rsid w:val="0096508C"/>
    <w:rsid w:val="00965A51"/>
    <w:rsid w:val="00965DC0"/>
    <w:rsid w:val="00966D63"/>
    <w:rsid w:val="00966EF5"/>
    <w:rsid w:val="00967884"/>
    <w:rsid w:val="00967F95"/>
    <w:rsid w:val="0097052E"/>
    <w:rsid w:val="009720F3"/>
    <w:rsid w:val="009726B2"/>
    <w:rsid w:val="0097393C"/>
    <w:rsid w:val="00974391"/>
    <w:rsid w:val="00974CED"/>
    <w:rsid w:val="00975F7A"/>
    <w:rsid w:val="0097735F"/>
    <w:rsid w:val="0097738C"/>
    <w:rsid w:val="00980702"/>
    <w:rsid w:val="00980ED9"/>
    <w:rsid w:val="009811E8"/>
    <w:rsid w:val="00981DBF"/>
    <w:rsid w:val="009835F2"/>
    <w:rsid w:val="00983772"/>
    <w:rsid w:val="009848BD"/>
    <w:rsid w:val="00984909"/>
    <w:rsid w:val="00985A8F"/>
    <w:rsid w:val="00985DDA"/>
    <w:rsid w:val="00985FB0"/>
    <w:rsid w:val="0098614B"/>
    <w:rsid w:val="00986D9D"/>
    <w:rsid w:val="0098717B"/>
    <w:rsid w:val="00987210"/>
    <w:rsid w:val="00987735"/>
    <w:rsid w:val="00990891"/>
    <w:rsid w:val="009908BC"/>
    <w:rsid w:val="009923CB"/>
    <w:rsid w:val="0099344F"/>
    <w:rsid w:val="0099362D"/>
    <w:rsid w:val="009948FC"/>
    <w:rsid w:val="0099551B"/>
    <w:rsid w:val="009955F7"/>
    <w:rsid w:val="00995F9C"/>
    <w:rsid w:val="00996049"/>
    <w:rsid w:val="009964EB"/>
    <w:rsid w:val="009970EA"/>
    <w:rsid w:val="00997C6C"/>
    <w:rsid w:val="00997C72"/>
    <w:rsid w:val="009A050A"/>
    <w:rsid w:val="009A0A29"/>
    <w:rsid w:val="009A0EB5"/>
    <w:rsid w:val="009A15C0"/>
    <w:rsid w:val="009A16E5"/>
    <w:rsid w:val="009A3C59"/>
    <w:rsid w:val="009A49CB"/>
    <w:rsid w:val="009A4F3C"/>
    <w:rsid w:val="009A57F7"/>
    <w:rsid w:val="009A605F"/>
    <w:rsid w:val="009A6A54"/>
    <w:rsid w:val="009A6F06"/>
    <w:rsid w:val="009A760B"/>
    <w:rsid w:val="009B03DD"/>
    <w:rsid w:val="009B06E9"/>
    <w:rsid w:val="009B2D88"/>
    <w:rsid w:val="009B34FC"/>
    <w:rsid w:val="009B41CE"/>
    <w:rsid w:val="009B57D3"/>
    <w:rsid w:val="009B5BA8"/>
    <w:rsid w:val="009B6016"/>
    <w:rsid w:val="009B7702"/>
    <w:rsid w:val="009B7FF5"/>
    <w:rsid w:val="009C009C"/>
    <w:rsid w:val="009C0629"/>
    <w:rsid w:val="009C0B61"/>
    <w:rsid w:val="009C1021"/>
    <w:rsid w:val="009C1A57"/>
    <w:rsid w:val="009C1DCA"/>
    <w:rsid w:val="009C2206"/>
    <w:rsid w:val="009C3E0C"/>
    <w:rsid w:val="009C4B4E"/>
    <w:rsid w:val="009C5B6A"/>
    <w:rsid w:val="009C6986"/>
    <w:rsid w:val="009C6B83"/>
    <w:rsid w:val="009C7FC2"/>
    <w:rsid w:val="009D03EA"/>
    <w:rsid w:val="009D164C"/>
    <w:rsid w:val="009D1BEA"/>
    <w:rsid w:val="009D24BA"/>
    <w:rsid w:val="009D40C3"/>
    <w:rsid w:val="009D4132"/>
    <w:rsid w:val="009D548D"/>
    <w:rsid w:val="009D5F40"/>
    <w:rsid w:val="009D664A"/>
    <w:rsid w:val="009D6812"/>
    <w:rsid w:val="009D7545"/>
    <w:rsid w:val="009E0738"/>
    <w:rsid w:val="009E0951"/>
    <w:rsid w:val="009E147B"/>
    <w:rsid w:val="009E234F"/>
    <w:rsid w:val="009E24D9"/>
    <w:rsid w:val="009E35C6"/>
    <w:rsid w:val="009E3727"/>
    <w:rsid w:val="009E3764"/>
    <w:rsid w:val="009E3B0E"/>
    <w:rsid w:val="009E4B9D"/>
    <w:rsid w:val="009E504E"/>
    <w:rsid w:val="009E5B48"/>
    <w:rsid w:val="009E6249"/>
    <w:rsid w:val="009E68EF"/>
    <w:rsid w:val="009E6D72"/>
    <w:rsid w:val="009F0A30"/>
    <w:rsid w:val="009F0A96"/>
    <w:rsid w:val="009F15CA"/>
    <w:rsid w:val="009F204E"/>
    <w:rsid w:val="009F27C0"/>
    <w:rsid w:val="009F286F"/>
    <w:rsid w:val="009F3E9C"/>
    <w:rsid w:val="009F418B"/>
    <w:rsid w:val="009F53EA"/>
    <w:rsid w:val="009F578B"/>
    <w:rsid w:val="009F6C16"/>
    <w:rsid w:val="009F7680"/>
    <w:rsid w:val="009F7F3D"/>
    <w:rsid w:val="00A00246"/>
    <w:rsid w:val="00A00624"/>
    <w:rsid w:val="00A0094D"/>
    <w:rsid w:val="00A00C65"/>
    <w:rsid w:val="00A00D98"/>
    <w:rsid w:val="00A0163C"/>
    <w:rsid w:val="00A01DC4"/>
    <w:rsid w:val="00A0220B"/>
    <w:rsid w:val="00A02361"/>
    <w:rsid w:val="00A02622"/>
    <w:rsid w:val="00A03009"/>
    <w:rsid w:val="00A040E3"/>
    <w:rsid w:val="00A06CAB"/>
    <w:rsid w:val="00A070B7"/>
    <w:rsid w:val="00A10BBA"/>
    <w:rsid w:val="00A10BDE"/>
    <w:rsid w:val="00A10E5C"/>
    <w:rsid w:val="00A10FBB"/>
    <w:rsid w:val="00A11777"/>
    <w:rsid w:val="00A11912"/>
    <w:rsid w:val="00A12216"/>
    <w:rsid w:val="00A14151"/>
    <w:rsid w:val="00A14296"/>
    <w:rsid w:val="00A14B3E"/>
    <w:rsid w:val="00A150ED"/>
    <w:rsid w:val="00A15B49"/>
    <w:rsid w:val="00A15ECE"/>
    <w:rsid w:val="00A16834"/>
    <w:rsid w:val="00A2037B"/>
    <w:rsid w:val="00A229AA"/>
    <w:rsid w:val="00A240F9"/>
    <w:rsid w:val="00A24D6E"/>
    <w:rsid w:val="00A24DDB"/>
    <w:rsid w:val="00A272A9"/>
    <w:rsid w:val="00A27491"/>
    <w:rsid w:val="00A27FB0"/>
    <w:rsid w:val="00A30099"/>
    <w:rsid w:val="00A30C25"/>
    <w:rsid w:val="00A31112"/>
    <w:rsid w:val="00A31E0B"/>
    <w:rsid w:val="00A32926"/>
    <w:rsid w:val="00A32D08"/>
    <w:rsid w:val="00A32E96"/>
    <w:rsid w:val="00A33948"/>
    <w:rsid w:val="00A33A1E"/>
    <w:rsid w:val="00A33A9C"/>
    <w:rsid w:val="00A34458"/>
    <w:rsid w:val="00A344FD"/>
    <w:rsid w:val="00A34895"/>
    <w:rsid w:val="00A357F4"/>
    <w:rsid w:val="00A35D9B"/>
    <w:rsid w:val="00A36629"/>
    <w:rsid w:val="00A37EAB"/>
    <w:rsid w:val="00A37EE5"/>
    <w:rsid w:val="00A401E0"/>
    <w:rsid w:val="00A408B0"/>
    <w:rsid w:val="00A41038"/>
    <w:rsid w:val="00A42B30"/>
    <w:rsid w:val="00A43127"/>
    <w:rsid w:val="00A436DF"/>
    <w:rsid w:val="00A43717"/>
    <w:rsid w:val="00A44006"/>
    <w:rsid w:val="00A45481"/>
    <w:rsid w:val="00A4601A"/>
    <w:rsid w:val="00A46126"/>
    <w:rsid w:val="00A469A9"/>
    <w:rsid w:val="00A46A87"/>
    <w:rsid w:val="00A47BDB"/>
    <w:rsid w:val="00A47D29"/>
    <w:rsid w:val="00A50873"/>
    <w:rsid w:val="00A5124E"/>
    <w:rsid w:val="00A53A1A"/>
    <w:rsid w:val="00A544D6"/>
    <w:rsid w:val="00A548E3"/>
    <w:rsid w:val="00A54A47"/>
    <w:rsid w:val="00A55B32"/>
    <w:rsid w:val="00A5667C"/>
    <w:rsid w:val="00A569F4"/>
    <w:rsid w:val="00A606FB"/>
    <w:rsid w:val="00A610CD"/>
    <w:rsid w:val="00A61540"/>
    <w:rsid w:val="00A61A42"/>
    <w:rsid w:val="00A61EB9"/>
    <w:rsid w:val="00A62413"/>
    <w:rsid w:val="00A62978"/>
    <w:rsid w:val="00A62ADC"/>
    <w:rsid w:val="00A62C9C"/>
    <w:rsid w:val="00A638ED"/>
    <w:rsid w:val="00A6486C"/>
    <w:rsid w:val="00A654A9"/>
    <w:rsid w:val="00A66840"/>
    <w:rsid w:val="00A66D33"/>
    <w:rsid w:val="00A67943"/>
    <w:rsid w:val="00A67CA7"/>
    <w:rsid w:val="00A67E34"/>
    <w:rsid w:val="00A7007E"/>
    <w:rsid w:val="00A7029D"/>
    <w:rsid w:val="00A70982"/>
    <w:rsid w:val="00A70FDA"/>
    <w:rsid w:val="00A710C2"/>
    <w:rsid w:val="00A714BB"/>
    <w:rsid w:val="00A7152A"/>
    <w:rsid w:val="00A72041"/>
    <w:rsid w:val="00A72E13"/>
    <w:rsid w:val="00A72E21"/>
    <w:rsid w:val="00A73129"/>
    <w:rsid w:val="00A750CC"/>
    <w:rsid w:val="00A771F0"/>
    <w:rsid w:val="00A80FAB"/>
    <w:rsid w:val="00A81152"/>
    <w:rsid w:val="00A81E0C"/>
    <w:rsid w:val="00A831E7"/>
    <w:rsid w:val="00A83364"/>
    <w:rsid w:val="00A8431D"/>
    <w:rsid w:val="00A846E0"/>
    <w:rsid w:val="00A846EB"/>
    <w:rsid w:val="00A86303"/>
    <w:rsid w:val="00A87D12"/>
    <w:rsid w:val="00A87EEA"/>
    <w:rsid w:val="00A900E9"/>
    <w:rsid w:val="00A903B9"/>
    <w:rsid w:val="00A91033"/>
    <w:rsid w:val="00A91496"/>
    <w:rsid w:val="00A91E21"/>
    <w:rsid w:val="00A922D8"/>
    <w:rsid w:val="00A9380C"/>
    <w:rsid w:val="00A93C8D"/>
    <w:rsid w:val="00A944C7"/>
    <w:rsid w:val="00A95163"/>
    <w:rsid w:val="00A95F8E"/>
    <w:rsid w:val="00A9676E"/>
    <w:rsid w:val="00A96B5D"/>
    <w:rsid w:val="00A96EA3"/>
    <w:rsid w:val="00A97BEA"/>
    <w:rsid w:val="00AA0B77"/>
    <w:rsid w:val="00AA0EA3"/>
    <w:rsid w:val="00AA1A4F"/>
    <w:rsid w:val="00AA1C62"/>
    <w:rsid w:val="00AA1CA6"/>
    <w:rsid w:val="00AA2992"/>
    <w:rsid w:val="00AA336D"/>
    <w:rsid w:val="00AA3605"/>
    <w:rsid w:val="00AA467C"/>
    <w:rsid w:val="00AA4995"/>
    <w:rsid w:val="00AA5888"/>
    <w:rsid w:val="00AA5E5F"/>
    <w:rsid w:val="00AA7083"/>
    <w:rsid w:val="00AA7FE5"/>
    <w:rsid w:val="00AB0351"/>
    <w:rsid w:val="00AB07A3"/>
    <w:rsid w:val="00AB1591"/>
    <w:rsid w:val="00AB19A2"/>
    <w:rsid w:val="00AB19DC"/>
    <w:rsid w:val="00AB19F4"/>
    <w:rsid w:val="00AB1BCE"/>
    <w:rsid w:val="00AB465C"/>
    <w:rsid w:val="00AB4AA4"/>
    <w:rsid w:val="00AB54CF"/>
    <w:rsid w:val="00AB7085"/>
    <w:rsid w:val="00AB7365"/>
    <w:rsid w:val="00AB73B7"/>
    <w:rsid w:val="00AC009D"/>
    <w:rsid w:val="00AC0C63"/>
    <w:rsid w:val="00AC1C4C"/>
    <w:rsid w:val="00AC1D7B"/>
    <w:rsid w:val="00AC21FC"/>
    <w:rsid w:val="00AC5F1C"/>
    <w:rsid w:val="00AC61EE"/>
    <w:rsid w:val="00AC660C"/>
    <w:rsid w:val="00AC678C"/>
    <w:rsid w:val="00AC74F4"/>
    <w:rsid w:val="00AC7847"/>
    <w:rsid w:val="00AC7C9C"/>
    <w:rsid w:val="00AD0486"/>
    <w:rsid w:val="00AD074C"/>
    <w:rsid w:val="00AD0FF5"/>
    <w:rsid w:val="00AD118E"/>
    <w:rsid w:val="00AD1B6E"/>
    <w:rsid w:val="00AD2D57"/>
    <w:rsid w:val="00AD3A85"/>
    <w:rsid w:val="00AD3AC3"/>
    <w:rsid w:val="00AD3AF1"/>
    <w:rsid w:val="00AD3AFB"/>
    <w:rsid w:val="00AD408C"/>
    <w:rsid w:val="00AD536A"/>
    <w:rsid w:val="00AD5701"/>
    <w:rsid w:val="00AD5857"/>
    <w:rsid w:val="00AD68C4"/>
    <w:rsid w:val="00AD6E75"/>
    <w:rsid w:val="00AD7252"/>
    <w:rsid w:val="00AD7ACB"/>
    <w:rsid w:val="00AD7C4C"/>
    <w:rsid w:val="00AD7FFE"/>
    <w:rsid w:val="00AE0369"/>
    <w:rsid w:val="00AE0A7F"/>
    <w:rsid w:val="00AE0D71"/>
    <w:rsid w:val="00AE22EF"/>
    <w:rsid w:val="00AE2D73"/>
    <w:rsid w:val="00AE2FCE"/>
    <w:rsid w:val="00AE3019"/>
    <w:rsid w:val="00AE35EB"/>
    <w:rsid w:val="00AE3A18"/>
    <w:rsid w:val="00AE4FD6"/>
    <w:rsid w:val="00AE5053"/>
    <w:rsid w:val="00AE50B5"/>
    <w:rsid w:val="00AE5B08"/>
    <w:rsid w:val="00AE6609"/>
    <w:rsid w:val="00AE6898"/>
    <w:rsid w:val="00AE6A6F"/>
    <w:rsid w:val="00AE6EB2"/>
    <w:rsid w:val="00AE7DFF"/>
    <w:rsid w:val="00AE7E5B"/>
    <w:rsid w:val="00AF1E47"/>
    <w:rsid w:val="00AF2D00"/>
    <w:rsid w:val="00AF3708"/>
    <w:rsid w:val="00AF376D"/>
    <w:rsid w:val="00AF393E"/>
    <w:rsid w:val="00AF3FE2"/>
    <w:rsid w:val="00AF4EBC"/>
    <w:rsid w:val="00AF564F"/>
    <w:rsid w:val="00AF59F2"/>
    <w:rsid w:val="00B004DA"/>
    <w:rsid w:val="00B00E86"/>
    <w:rsid w:val="00B01197"/>
    <w:rsid w:val="00B01284"/>
    <w:rsid w:val="00B01A24"/>
    <w:rsid w:val="00B01CD8"/>
    <w:rsid w:val="00B01D4F"/>
    <w:rsid w:val="00B02128"/>
    <w:rsid w:val="00B02225"/>
    <w:rsid w:val="00B0229E"/>
    <w:rsid w:val="00B02695"/>
    <w:rsid w:val="00B03434"/>
    <w:rsid w:val="00B03489"/>
    <w:rsid w:val="00B03648"/>
    <w:rsid w:val="00B0393B"/>
    <w:rsid w:val="00B041D6"/>
    <w:rsid w:val="00B04625"/>
    <w:rsid w:val="00B04B50"/>
    <w:rsid w:val="00B069AB"/>
    <w:rsid w:val="00B078B2"/>
    <w:rsid w:val="00B07BC6"/>
    <w:rsid w:val="00B108C3"/>
    <w:rsid w:val="00B10B8E"/>
    <w:rsid w:val="00B10DE7"/>
    <w:rsid w:val="00B10E45"/>
    <w:rsid w:val="00B1153C"/>
    <w:rsid w:val="00B11E59"/>
    <w:rsid w:val="00B11ED7"/>
    <w:rsid w:val="00B12504"/>
    <w:rsid w:val="00B12724"/>
    <w:rsid w:val="00B13D7C"/>
    <w:rsid w:val="00B13FFD"/>
    <w:rsid w:val="00B14D1A"/>
    <w:rsid w:val="00B15A0D"/>
    <w:rsid w:val="00B1658C"/>
    <w:rsid w:val="00B17872"/>
    <w:rsid w:val="00B2061B"/>
    <w:rsid w:val="00B20F04"/>
    <w:rsid w:val="00B21578"/>
    <w:rsid w:val="00B215C9"/>
    <w:rsid w:val="00B21F04"/>
    <w:rsid w:val="00B22D58"/>
    <w:rsid w:val="00B2406F"/>
    <w:rsid w:val="00B24ABF"/>
    <w:rsid w:val="00B25430"/>
    <w:rsid w:val="00B25678"/>
    <w:rsid w:val="00B266AF"/>
    <w:rsid w:val="00B26A41"/>
    <w:rsid w:val="00B26A83"/>
    <w:rsid w:val="00B2719D"/>
    <w:rsid w:val="00B27A04"/>
    <w:rsid w:val="00B27B4F"/>
    <w:rsid w:val="00B30FF8"/>
    <w:rsid w:val="00B32999"/>
    <w:rsid w:val="00B32E0F"/>
    <w:rsid w:val="00B3367B"/>
    <w:rsid w:val="00B336AD"/>
    <w:rsid w:val="00B33735"/>
    <w:rsid w:val="00B3432B"/>
    <w:rsid w:val="00B3472D"/>
    <w:rsid w:val="00B3495A"/>
    <w:rsid w:val="00B34CCD"/>
    <w:rsid w:val="00B352EE"/>
    <w:rsid w:val="00B35DDC"/>
    <w:rsid w:val="00B36317"/>
    <w:rsid w:val="00B368AF"/>
    <w:rsid w:val="00B3690B"/>
    <w:rsid w:val="00B36F91"/>
    <w:rsid w:val="00B37422"/>
    <w:rsid w:val="00B3791B"/>
    <w:rsid w:val="00B4090C"/>
    <w:rsid w:val="00B40B7A"/>
    <w:rsid w:val="00B41CCC"/>
    <w:rsid w:val="00B433E8"/>
    <w:rsid w:val="00B43F84"/>
    <w:rsid w:val="00B4486F"/>
    <w:rsid w:val="00B448DF"/>
    <w:rsid w:val="00B44A01"/>
    <w:rsid w:val="00B44E30"/>
    <w:rsid w:val="00B4590D"/>
    <w:rsid w:val="00B46727"/>
    <w:rsid w:val="00B46EB4"/>
    <w:rsid w:val="00B47273"/>
    <w:rsid w:val="00B4745B"/>
    <w:rsid w:val="00B474E6"/>
    <w:rsid w:val="00B4788D"/>
    <w:rsid w:val="00B4791F"/>
    <w:rsid w:val="00B479C1"/>
    <w:rsid w:val="00B51651"/>
    <w:rsid w:val="00B516E9"/>
    <w:rsid w:val="00B51C48"/>
    <w:rsid w:val="00B51D80"/>
    <w:rsid w:val="00B5262E"/>
    <w:rsid w:val="00B52635"/>
    <w:rsid w:val="00B52D60"/>
    <w:rsid w:val="00B53614"/>
    <w:rsid w:val="00B5361A"/>
    <w:rsid w:val="00B546A5"/>
    <w:rsid w:val="00B54A7A"/>
    <w:rsid w:val="00B55643"/>
    <w:rsid w:val="00B5587F"/>
    <w:rsid w:val="00B55C7C"/>
    <w:rsid w:val="00B55D97"/>
    <w:rsid w:val="00B56669"/>
    <w:rsid w:val="00B56A70"/>
    <w:rsid w:val="00B6046D"/>
    <w:rsid w:val="00B60758"/>
    <w:rsid w:val="00B615E9"/>
    <w:rsid w:val="00B61B12"/>
    <w:rsid w:val="00B61BAA"/>
    <w:rsid w:val="00B62C8B"/>
    <w:rsid w:val="00B62DF3"/>
    <w:rsid w:val="00B6301C"/>
    <w:rsid w:val="00B64100"/>
    <w:rsid w:val="00B644E2"/>
    <w:rsid w:val="00B646E6"/>
    <w:rsid w:val="00B6496D"/>
    <w:rsid w:val="00B65B92"/>
    <w:rsid w:val="00B674D8"/>
    <w:rsid w:val="00B67EFB"/>
    <w:rsid w:val="00B70AA3"/>
    <w:rsid w:val="00B7256F"/>
    <w:rsid w:val="00B72B12"/>
    <w:rsid w:val="00B7383A"/>
    <w:rsid w:val="00B74833"/>
    <w:rsid w:val="00B7524C"/>
    <w:rsid w:val="00B7593E"/>
    <w:rsid w:val="00B75A08"/>
    <w:rsid w:val="00B75C7C"/>
    <w:rsid w:val="00B76A6C"/>
    <w:rsid w:val="00B76DDF"/>
    <w:rsid w:val="00B77338"/>
    <w:rsid w:val="00B80327"/>
    <w:rsid w:val="00B806E2"/>
    <w:rsid w:val="00B80C80"/>
    <w:rsid w:val="00B8168F"/>
    <w:rsid w:val="00B81BB8"/>
    <w:rsid w:val="00B83569"/>
    <w:rsid w:val="00B836FF"/>
    <w:rsid w:val="00B84159"/>
    <w:rsid w:val="00B84B4A"/>
    <w:rsid w:val="00B86765"/>
    <w:rsid w:val="00B8738D"/>
    <w:rsid w:val="00B9016B"/>
    <w:rsid w:val="00B902C2"/>
    <w:rsid w:val="00B90B13"/>
    <w:rsid w:val="00B9100F"/>
    <w:rsid w:val="00B91490"/>
    <w:rsid w:val="00B9395A"/>
    <w:rsid w:val="00B95A33"/>
    <w:rsid w:val="00BA0D11"/>
    <w:rsid w:val="00BA1DFE"/>
    <w:rsid w:val="00BA1E02"/>
    <w:rsid w:val="00BA31AA"/>
    <w:rsid w:val="00BA3DC8"/>
    <w:rsid w:val="00BA3E9D"/>
    <w:rsid w:val="00BA48A1"/>
    <w:rsid w:val="00BA4CA7"/>
    <w:rsid w:val="00BA4D16"/>
    <w:rsid w:val="00BA50C4"/>
    <w:rsid w:val="00BA584C"/>
    <w:rsid w:val="00BA5A00"/>
    <w:rsid w:val="00BA70D6"/>
    <w:rsid w:val="00BA73A3"/>
    <w:rsid w:val="00BA7C8A"/>
    <w:rsid w:val="00BB092C"/>
    <w:rsid w:val="00BB21DF"/>
    <w:rsid w:val="00BB22DD"/>
    <w:rsid w:val="00BB49DC"/>
    <w:rsid w:val="00BB4B33"/>
    <w:rsid w:val="00BB4F56"/>
    <w:rsid w:val="00BB6339"/>
    <w:rsid w:val="00BB6862"/>
    <w:rsid w:val="00BC0763"/>
    <w:rsid w:val="00BC08B1"/>
    <w:rsid w:val="00BC1684"/>
    <w:rsid w:val="00BC2FC3"/>
    <w:rsid w:val="00BC34E5"/>
    <w:rsid w:val="00BC39E6"/>
    <w:rsid w:val="00BC3A4A"/>
    <w:rsid w:val="00BC45D6"/>
    <w:rsid w:val="00BC4988"/>
    <w:rsid w:val="00BC53FA"/>
    <w:rsid w:val="00BC5699"/>
    <w:rsid w:val="00BC6F38"/>
    <w:rsid w:val="00BC7884"/>
    <w:rsid w:val="00BC793F"/>
    <w:rsid w:val="00BC7F80"/>
    <w:rsid w:val="00BC7FB6"/>
    <w:rsid w:val="00BD04EA"/>
    <w:rsid w:val="00BD086D"/>
    <w:rsid w:val="00BD1381"/>
    <w:rsid w:val="00BD2619"/>
    <w:rsid w:val="00BD30A9"/>
    <w:rsid w:val="00BD3262"/>
    <w:rsid w:val="00BD39E4"/>
    <w:rsid w:val="00BD3E17"/>
    <w:rsid w:val="00BD44E5"/>
    <w:rsid w:val="00BD53F7"/>
    <w:rsid w:val="00BD546B"/>
    <w:rsid w:val="00BD5837"/>
    <w:rsid w:val="00BD6535"/>
    <w:rsid w:val="00BD6E97"/>
    <w:rsid w:val="00BE0B7E"/>
    <w:rsid w:val="00BE133D"/>
    <w:rsid w:val="00BE26B3"/>
    <w:rsid w:val="00BE36DF"/>
    <w:rsid w:val="00BE465B"/>
    <w:rsid w:val="00BE4C26"/>
    <w:rsid w:val="00BE5C8D"/>
    <w:rsid w:val="00BE5EE6"/>
    <w:rsid w:val="00BE69D2"/>
    <w:rsid w:val="00BE6D0E"/>
    <w:rsid w:val="00BE743C"/>
    <w:rsid w:val="00BF0491"/>
    <w:rsid w:val="00BF1416"/>
    <w:rsid w:val="00BF1699"/>
    <w:rsid w:val="00BF188E"/>
    <w:rsid w:val="00BF1D21"/>
    <w:rsid w:val="00BF1E38"/>
    <w:rsid w:val="00BF1F26"/>
    <w:rsid w:val="00BF33A7"/>
    <w:rsid w:val="00BF3E02"/>
    <w:rsid w:val="00BF57CC"/>
    <w:rsid w:val="00BF58B3"/>
    <w:rsid w:val="00BF5CD8"/>
    <w:rsid w:val="00BF6618"/>
    <w:rsid w:val="00BF6B62"/>
    <w:rsid w:val="00BF74C0"/>
    <w:rsid w:val="00C005B4"/>
    <w:rsid w:val="00C0113C"/>
    <w:rsid w:val="00C01CA9"/>
    <w:rsid w:val="00C01EC4"/>
    <w:rsid w:val="00C02ED4"/>
    <w:rsid w:val="00C03036"/>
    <w:rsid w:val="00C0329D"/>
    <w:rsid w:val="00C041E1"/>
    <w:rsid w:val="00C042CC"/>
    <w:rsid w:val="00C0527B"/>
    <w:rsid w:val="00C05348"/>
    <w:rsid w:val="00C0562D"/>
    <w:rsid w:val="00C076DE"/>
    <w:rsid w:val="00C07A87"/>
    <w:rsid w:val="00C104EF"/>
    <w:rsid w:val="00C11387"/>
    <w:rsid w:val="00C11473"/>
    <w:rsid w:val="00C13141"/>
    <w:rsid w:val="00C158F8"/>
    <w:rsid w:val="00C15F0C"/>
    <w:rsid w:val="00C17EBD"/>
    <w:rsid w:val="00C2010A"/>
    <w:rsid w:val="00C201F4"/>
    <w:rsid w:val="00C21DEC"/>
    <w:rsid w:val="00C23BE8"/>
    <w:rsid w:val="00C23D35"/>
    <w:rsid w:val="00C242AC"/>
    <w:rsid w:val="00C242D3"/>
    <w:rsid w:val="00C24306"/>
    <w:rsid w:val="00C24D95"/>
    <w:rsid w:val="00C24E1A"/>
    <w:rsid w:val="00C25598"/>
    <w:rsid w:val="00C25CA0"/>
    <w:rsid w:val="00C26EC4"/>
    <w:rsid w:val="00C27F48"/>
    <w:rsid w:val="00C30734"/>
    <w:rsid w:val="00C31074"/>
    <w:rsid w:val="00C32AB4"/>
    <w:rsid w:val="00C34ADE"/>
    <w:rsid w:val="00C350EA"/>
    <w:rsid w:val="00C360BD"/>
    <w:rsid w:val="00C36553"/>
    <w:rsid w:val="00C369EF"/>
    <w:rsid w:val="00C374C8"/>
    <w:rsid w:val="00C37B32"/>
    <w:rsid w:val="00C4225C"/>
    <w:rsid w:val="00C43402"/>
    <w:rsid w:val="00C43B0F"/>
    <w:rsid w:val="00C44042"/>
    <w:rsid w:val="00C44192"/>
    <w:rsid w:val="00C44425"/>
    <w:rsid w:val="00C44529"/>
    <w:rsid w:val="00C44643"/>
    <w:rsid w:val="00C448C9"/>
    <w:rsid w:val="00C44A81"/>
    <w:rsid w:val="00C44C5A"/>
    <w:rsid w:val="00C45964"/>
    <w:rsid w:val="00C45BAF"/>
    <w:rsid w:val="00C4617A"/>
    <w:rsid w:val="00C46736"/>
    <w:rsid w:val="00C470BB"/>
    <w:rsid w:val="00C4741E"/>
    <w:rsid w:val="00C47964"/>
    <w:rsid w:val="00C47BE4"/>
    <w:rsid w:val="00C47DAB"/>
    <w:rsid w:val="00C50CD4"/>
    <w:rsid w:val="00C515CA"/>
    <w:rsid w:val="00C5249D"/>
    <w:rsid w:val="00C538EE"/>
    <w:rsid w:val="00C54C65"/>
    <w:rsid w:val="00C55DA0"/>
    <w:rsid w:val="00C61C01"/>
    <w:rsid w:val="00C6294F"/>
    <w:rsid w:val="00C63109"/>
    <w:rsid w:val="00C632DA"/>
    <w:rsid w:val="00C649A5"/>
    <w:rsid w:val="00C65109"/>
    <w:rsid w:val="00C6759E"/>
    <w:rsid w:val="00C676C8"/>
    <w:rsid w:val="00C67C72"/>
    <w:rsid w:val="00C67D13"/>
    <w:rsid w:val="00C702E6"/>
    <w:rsid w:val="00C7055D"/>
    <w:rsid w:val="00C71595"/>
    <w:rsid w:val="00C71623"/>
    <w:rsid w:val="00C721E0"/>
    <w:rsid w:val="00C727BA"/>
    <w:rsid w:val="00C72F9B"/>
    <w:rsid w:val="00C736FE"/>
    <w:rsid w:val="00C74400"/>
    <w:rsid w:val="00C745BF"/>
    <w:rsid w:val="00C75496"/>
    <w:rsid w:val="00C7578B"/>
    <w:rsid w:val="00C75B9C"/>
    <w:rsid w:val="00C75EEE"/>
    <w:rsid w:val="00C76B60"/>
    <w:rsid w:val="00C77611"/>
    <w:rsid w:val="00C8035C"/>
    <w:rsid w:val="00C80440"/>
    <w:rsid w:val="00C805BD"/>
    <w:rsid w:val="00C805F1"/>
    <w:rsid w:val="00C807F1"/>
    <w:rsid w:val="00C8081E"/>
    <w:rsid w:val="00C80C53"/>
    <w:rsid w:val="00C80CF0"/>
    <w:rsid w:val="00C80D4D"/>
    <w:rsid w:val="00C82192"/>
    <w:rsid w:val="00C8314C"/>
    <w:rsid w:val="00C84268"/>
    <w:rsid w:val="00C8456F"/>
    <w:rsid w:val="00C84D1D"/>
    <w:rsid w:val="00C873B1"/>
    <w:rsid w:val="00C87506"/>
    <w:rsid w:val="00C87970"/>
    <w:rsid w:val="00C87F3E"/>
    <w:rsid w:val="00C91D59"/>
    <w:rsid w:val="00C91E76"/>
    <w:rsid w:val="00C9203D"/>
    <w:rsid w:val="00C92090"/>
    <w:rsid w:val="00C925ED"/>
    <w:rsid w:val="00C92B05"/>
    <w:rsid w:val="00C93168"/>
    <w:rsid w:val="00C9327D"/>
    <w:rsid w:val="00C93B15"/>
    <w:rsid w:val="00C93FA1"/>
    <w:rsid w:val="00C95512"/>
    <w:rsid w:val="00C961A5"/>
    <w:rsid w:val="00C9687C"/>
    <w:rsid w:val="00C96AFA"/>
    <w:rsid w:val="00C977BB"/>
    <w:rsid w:val="00C97EDE"/>
    <w:rsid w:val="00CA00ED"/>
    <w:rsid w:val="00CA057D"/>
    <w:rsid w:val="00CA1A3A"/>
    <w:rsid w:val="00CA318B"/>
    <w:rsid w:val="00CA353F"/>
    <w:rsid w:val="00CA3561"/>
    <w:rsid w:val="00CA358A"/>
    <w:rsid w:val="00CA3E20"/>
    <w:rsid w:val="00CA46FD"/>
    <w:rsid w:val="00CA563B"/>
    <w:rsid w:val="00CA5743"/>
    <w:rsid w:val="00CA65A2"/>
    <w:rsid w:val="00CA70B6"/>
    <w:rsid w:val="00CB0450"/>
    <w:rsid w:val="00CB0B00"/>
    <w:rsid w:val="00CB0CCE"/>
    <w:rsid w:val="00CB2090"/>
    <w:rsid w:val="00CB20D5"/>
    <w:rsid w:val="00CB3ACF"/>
    <w:rsid w:val="00CB4DC1"/>
    <w:rsid w:val="00CB4F13"/>
    <w:rsid w:val="00CB58D7"/>
    <w:rsid w:val="00CB59ED"/>
    <w:rsid w:val="00CB77A2"/>
    <w:rsid w:val="00CC1CB5"/>
    <w:rsid w:val="00CC1E86"/>
    <w:rsid w:val="00CC3143"/>
    <w:rsid w:val="00CC35B5"/>
    <w:rsid w:val="00CC4099"/>
    <w:rsid w:val="00CC571D"/>
    <w:rsid w:val="00CC5990"/>
    <w:rsid w:val="00CC6318"/>
    <w:rsid w:val="00CC68D7"/>
    <w:rsid w:val="00CC77DD"/>
    <w:rsid w:val="00CC7FDD"/>
    <w:rsid w:val="00CD0581"/>
    <w:rsid w:val="00CD1205"/>
    <w:rsid w:val="00CD14A1"/>
    <w:rsid w:val="00CD1D2A"/>
    <w:rsid w:val="00CD2580"/>
    <w:rsid w:val="00CD27D5"/>
    <w:rsid w:val="00CD2A02"/>
    <w:rsid w:val="00CD2A09"/>
    <w:rsid w:val="00CD40D9"/>
    <w:rsid w:val="00CD5145"/>
    <w:rsid w:val="00CD5673"/>
    <w:rsid w:val="00CD5B25"/>
    <w:rsid w:val="00CD5EB8"/>
    <w:rsid w:val="00CD6068"/>
    <w:rsid w:val="00CD6214"/>
    <w:rsid w:val="00CD63D3"/>
    <w:rsid w:val="00CD6E3C"/>
    <w:rsid w:val="00CD72C2"/>
    <w:rsid w:val="00CD7FBE"/>
    <w:rsid w:val="00CE16F6"/>
    <w:rsid w:val="00CE1C51"/>
    <w:rsid w:val="00CE2131"/>
    <w:rsid w:val="00CE27CD"/>
    <w:rsid w:val="00CE29A0"/>
    <w:rsid w:val="00CE32DA"/>
    <w:rsid w:val="00CE3740"/>
    <w:rsid w:val="00CE47B2"/>
    <w:rsid w:val="00CE4BD4"/>
    <w:rsid w:val="00CE57F8"/>
    <w:rsid w:val="00CE5E41"/>
    <w:rsid w:val="00CE6403"/>
    <w:rsid w:val="00CE6724"/>
    <w:rsid w:val="00CE6D49"/>
    <w:rsid w:val="00CE6E22"/>
    <w:rsid w:val="00CE7D9B"/>
    <w:rsid w:val="00CF035E"/>
    <w:rsid w:val="00CF0ACF"/>
    <w:rsid w:val="00CF1158"/>
    <w:rsid w:val="00CF29DD"/>
    <w:rsid w:val="00CF3067"/>
    <w:rsid w:val="00CF3686"/>
    <w:rsid w:val="00CF45C5"/>
    <w:rsid w:val="00CF4F92"/>
    <w:rsid w:val="00CF57C3"/>
    <w:rsid w:val="00CF5DFD"/>
    <w:rsid w:val="00CF6503"/>
    <w:rsid w:val="00D011DB"/>
    <w:rsid w:val="00D01ECC"/>
    <w:rsid w:val="00D02294"/>
    <w:rsid w:val="00D04193"/>
    <w:rsid w:val="00D045FE"/>
    <w:rsid w:val="00D04BD8"/>
    <w:rsid w:val="00D0505D"/>
    <w:rsid w:val="00D05354"/>
    <w:rsid w:val="00D05D0D"/>
    <w:rsid w:val="00D05FAE"/>
    <w:rsid w:val="00D071CC"/>
    <w:rsid w:val="00D07709"/>
    <w:rsid w:val="00D0773B"/>
    <w:rsid w:val="00D10293"/>
    <w:rsid w:val="00D10893"/>
    <w:rsid w:val="00D10A35"/>
    <w:rsid w:val="00D12108"/>
    <w:rsid w:val="00D121E7"/>
    <w:rsid w:val="00D124CD"/>
    <w:rsid w:val="00D1263B"/>
    <w:rsid w:val="00D13983"/>
    <w:rsid w:val="00D13D89"/>
    <w:rsid w:val="00D146B8"/>
    <w:rsid w:val="00D15822"/>
    <w:rsid w:val="00D162D3"/>
    <w:rsid w:val="00D168EB"/>
    <w:rsid w:val="00D173C4"/>
    <w:rsid w:val="00D20687"/>
    <w:rsid w:val="00D216D2"/>
    <w:rsid w:val="00D22C1E"/>
    <w:rsid w:val="00D232F6"/>
    <w:rsid w:val="00D23CF5"/>
    <w:rsid w:val="00D24CB6"/>
    <w:rsid w:val="00D25E40"/>
    <w:rsid w:val="00D26C68"/>
    <w:rsid w:val="00D300CF"/>
    <w:rsid w:val="00D3048B"/>
    <w:rsid w:val="00D3122B"/>
    <w:rsid w:val="00D31D12"/>
    <w:rsid w:val="00D3220D"/>
    <w:rsid w:val="00D323AA"/>
    <w:rsid w:val="00D3294C"/>
    <w:rsid w:val="00D32C1B"/>
    <w:rsid w:val="00D3359E"/>
    <w:rsid w:val="00D34513"/>
    <w:rsid w:val="00D34CEE"/>
    <w:rsid w:val="00D37165"/>
    <w:rsid w:val="00D37652"/>
    <w:rsid w:val="00D4003F"/>
    <w:rsid w:val="00D40A1B"/>
    <w:rsid w:val="00D40D2F"/>
    <w:rsid w:val="00D4100C"/>
    <w:rsid w:val="00D411CF"/>
    <w:rsid w:val="00D4156F"/>
    <w:rsid w:val="00D41FEF"/>
    <w:rsid w:val="00D42A6B"/>
    <w:rsid w:val="00D42DCD"/>
    <w:rsid w:val="00D42FEA"/>
    <w:rsid w:val="00D431E0"/>
    <w:rsid w:val="00D43CB2"/>
    <w:rsid w:val="00D45D1F"/>
    <w:rsid w:val="00D47A2A"/>
    <w:rsid w:val="00D501B5"/>
    <w:rsid w:val="00D511B8"/>
    <w:rsid w:val="00D521F1"/>
    <w:rsid w:val="00D53593"/>
    <w:rsid w:val="00D544EB"/>
    <w:rsid w:val="00D55495"/>
    <w:rsid w:val="00D56BC9"/>
    <w:rsid w:val="00D56C3E"/>
    <w:rsid w:val="00D5714B"/>
    <w:rsid w:val="00D5769B"/>
    <w:rsid w:val="00D576B0"/>
    <w:rsid w:val="00D57DB8"/>
    <w:rsid w:val="00D60000"/>
    <w:rsid w:val="00D6017F"/>
    <w:rsid w:val="00D61872"/>
    <w:rsid w:val="00D61FB9"/>
    <w:rsid w:val="00D62625"/>
    <w:rsid w:val="00D629D4"/>
    <w:rsid w:val="00D6332B"/>
    <w:rsid w:val="00D633D6"/>
    <w:rsid w:val="00D63AB7"/>
    <w:rsid w:val="00D63E54"/>
    <w:rsid w:val="00D63F1B"/>
    <w:rsid w:val="00D6438C"/>
    <w:rsid w:val="00D643DD"/>
    <w:rsid w:val="00D647E8"/>
    <w:rsid w:val="00D64A45"/>
    <w:rsid w:val="00D64E8A"/>
    <w:rsid w:val="00D65381"/>
    <w:rsid w:val="00D65A2F"/>
    <w:rsid w:val="00D65B61"/>
    <w:rsid w:val="00D65FAE"/>
    <w:rsid w:val="00D6764C"/>
    <w:rsid w:val="00D67ACF"/>
    <w:rsid w:val="00D67AF3"/>
    <w:rsid w:val="00D7062B"/>
    <w:rsid w:val="00D709B5"/>
    <w:rsid w:val="00D725A1"/>
    <w:rsid w:val="00D72667"/>
    <w:rsid w:val="00D7297B"/>
    <w:rsid w:val="00D72DB5"/>
    <w:rsid w:val="00D72FA5"/>
    <w:rsid w:val="00D73211"/>
    <w:rsid w:val="00D735CC"/>
    <w:rsid w:val="00D74033"/>
    <w:rsid w:val="00D7478B"/>
    <w:rsid w:val="00D74BE3"/>
    <w:rsid w:val="00D7525C"/>
    <w:rsid w:val="00D75758"/>
    <w:rsid w:val="00D75833"/>
    <w:rsid w:val="00D7632F"/>
    <w:rsid w:val="00D76794"/>
    <w:rsid w:val="00D77A34"/>
    <w:rsid w:val="00D80872"/>
    <w:rsid w:val="00D80BFB"/>
    <w:rsid w:val="00D819C7"/>
    <w:rsid w:val="00D81B48"/>
    <w:rsid w:val="00D81C1C"/>
    <w:rsid w:val="00D82AE3"/>
    <w:rsid w:val="00D84744"/>
    <w:rsid w:val="00D85816"/>
    <w:rsid w:val="00D85C57"/>
    <w:rsid w:val="00D85E41"/>
    <w:rsid w:val="00D85F4E"/>
    <w:rsid w:val="00D8605A"/>
    <w:rsid w:val="00D8624E"/>
    <w:rsid w:val="00D8650D"/>
    <w:rsid w:val="00D86A6A"/>
    <w:rsid w:val="00D86B81"/>
    <w:rsid w:val="00D871E5"/>
    <w:rsid w:val="00D87A70"/>
    <w:rsid w:val="00D9146A"/>
    <w:rsid w:val="00D91F0D"/>
    <w:rsid w:val="00D920A2"/>
    <w:rsid w:val="00D92191"/>
    <w:rsid w:val="00D92CE7"/>
    <w:rsid w:val="00D9313C"/>
    <w:rsid w:val="00D93B81"/>
    <w:rsid w:val="00D94050"/>
    <w:rsid w:val="00D941F0"/>
    <w:rsid w:val="00D94866"/>
    <w:rsid w:val="00D94AB0"/>
    <w:rsid w:val="00D9570E"/>
    <w:rsid w:val="00D9696E"/>
    <w:rsid w:val="00D975B9"/>
    <w:rsid w:val="00DA082A"/>
    <w:rsid w:val="00DA08E2"/>
    <w:rsid w:val="00DA0CCF"/>
    <w:rsid w:val="00DA2342"/>
    <w:rsid w:val="00DA290B"/>
    <w:rsid w:val="00DA4502"/>
    <w:rsid w:val="00DA4F56"/>
    <w:rsid w:val="00DA50E7"/>
    <w:rsid w:val="00DA5705"/>
    <w:rsid w:val="00DA5BD3"/>
    <w:rsid w:val="00DA617A"/>
    <w:rsid w:val="00DA6A0B"/>
    <w:rsid w:val="00DA6DAB"/>
    <w:rsid w:val="00DA7AB7"/>
    <w:rsid w:val="00DA7B8C"/>
    <w:rsid w:val="00DA7C13"/>
    <w:rsid w:val="00DB2454"/>
    <w:rsid w:val="00DB2F5B"/>
    <w:rsid w:val="00DB3710"/>
    <w:rsid w:val="00DB3D94"/>
    <w:rsid w:val="00DB4714"/>
    <w:rsid w:val="00DB48E4"/>
    <w:rsid w:val="00DB4FF5"/>
    <w:rsid w:val="00DB5D8A"/>
    <w:rsid w:val="00DB5D8C"/>
    <w:rsid w:val="00DB603D"/>
    <w:rsid w:val="00DB66D3"/>
    <w:rsid w:val="00DB6843"/>
    <w:rsid w:val="00DB7724"/>
    <w:rsid w:val="00DB79A5"/>
    <w:rsid w:val="00DB7DB8"/>
    <w:rsid w:val="00DC0997"/>
    <w:rsid w:val="00DC1452"/>
    <w:rsid w:val="00DC21E7"/>
    <w:rsid w:val="00DC4961"/>
    <w:rsid w:val="00DC4F54"/>
    <w:rsid w:val="00DC50A2"/>
    <w:rsid w:val="00DC5651"/>
    <w:rsid w:val="00DC675D"/>
    <w:rsid w:val="00DD05E0"/>
    <w:rsid w:val="00DD05F7"/>
    <w:rsid w:val="00DD0F85"/>
    <w:rsid w:val="00DD109C"/>
    <w:rsid w:val="00DD1BEA"/>
    <w:rsid w:val="00DD2BCE"/>
    <w:rsid w:val="00DD36B5"/>
    <w:rsid w:val="00DD3EBA"/>
    <w:rsid w:val="00DD4D58"/>
    <w:rsid w:val="00DD5826"/>
    <w:rsid w:val="00DD5FDD"/>
    <w:rsid w:val="00DD6657"/>
    <w:rsid w:val="00DD698C"/>
    <w:rsid w:val="00DD71D2"/>
    <w:rsid w:val="00DD7769"/>
    <w:rsid w:val="00DD7D37"/>
    <w:rsid w:val="00DE0092"/>
    <w:rsid w:val="00DE0267"/>
    <w:rsid w:val="00DE0424"/>
    <w:rsid w:val="00DE0475"/>
    <w:rsid w:val="00DE0C84"/>
    <w:rsid w:val="00DE0EEC"/>
    <w:rsid w:val="00DE13CB"/>
    <w:rsid w:val="00DE184D"/>
    <w:rsid w:val="00DE2E02"/>
    <w:rsid w:val="00DE2FB7"/>
    <w:rsid w:val="00DE4B5A"/>
    <w:rsid w:val="00DE69B3"/>
    <w:rsid w:val="00DF0162"/>
    <w:rsid w:val="00DF0B74"/>
    <w:rsid w:val="00DF0FF8"/>
    <w:rsid w:val="00DF2BAE"/>
    <w:rsid w:val="00DF424D"/>
    <w:rsid w:val="00DF43EE"/>
    <w:rsid w:val="00DF4760"/>
    <w:rsid w:val="00DF4B9C"/>
    <w:rsid w:val="00DF5060"/>
    <w:rsid w:val="00DF67C4"/>
    <w:rsid w:val="00DF6F75"/>
    <w:rsid w:val="00DF71A8"/>
    <w:rsid w:val="00E0055C"/>
    <w:rsid w:val="00E00841"/>
    <w:rsid w:val="00E014AB"/>
    <w:rsid w:val="00E0185F"/>
    <w:rsid w:val="00E031EC"/>
    <w:rsid w:val="00E03240"/>
    <w:rsid w:val="00E033C6"/>
    <w:rsid w:val="00E0349B"/>
    <w:rsid w:val="00E03C6C"/>
    <w:rsid w:val="00E04301"/>
    <w:rsid w:val="00E0441E"/>
    <w:rsid w:val="00E05506"/>
    <w:rsid w:val="00E05971"/>
    <w:rsid w:val="00E05EB5"/>
    <w:rsid w:val="00E06590"/>
    <w:rsid w:val="00E06EA1"/>
    <w:rsid w:val="00E0740C"/>
    <w:rsid w:val="00E10485"/>
    <w:rsid w:val="00E10860"/>
    <w:rsid w:val="00E11BB2"/>
    <w:rsid w:val="00E12857"/>
    <w:rsid w:val="00E12EE9"/>
    <w:rsid w:val="00E13079"/>
    <w:rsid w:val="00E13102"/>
    <w:rsid w:val="00E14FE5"/>
    <w:rsid w:val="00E15573"/>
    <w:rsid w:val="00E15B98"/>
    <w:rsid w:val="00E15FF2"/>
    <w:rsid w:val="00E162EB"/>
    <w:rsid w:val="00E16567"/>
    <w:rsid w:val="00E167F2"/>
    <w:rsid w:val="00E16D08"/>
    <w:rsid w:val="00E16E35"/>
    <w:rsid w:val="00E179A0"/>
    <w:rsid w:val="00E17F90"/>
    <w:rsid w:val="00E203F2"/>
    <w:rsid w:val="00E20FA0"/>
    <w:rsid w:val="00E210BA"/>
    <w:rsid w:val="00E2255A"/>
    <w:rsid w:val="00E23A48"/>
    <w:rsid w:val="00E24249"/>
    <w:rsid w:val="00E24A73"/>
    <w:rsid w:val="00E25025"/>
    <w:rsid w:val="00E254F2"/>
    <w:rsid w:val="00E2576C"/>
    <w:rsid w:val="00E265A3"/>
    <w:rsid w:val="00E26BFF"/>
    <w:rsid w:val="00E26CA0"/>
    <w:rsid w:val="00E26D43"/>
    <w:rsid w:val="00E270B1"/>
    <w:rsid w:val="00E27FF9"/>
    <w:rsid w:val="00E30EE9"/>
    <w:rsid w:val="00E30F07"/>
    <w:rsid w:val="00E3177F"/>
    <w:rsid w:val="00E31B54"/>
    <w:rsid w:val="00E31E2D"/>
    <w:rsid w:val="00E32384"/>
    <w:rsid w:val="00E3291C"/>
    <w:rsid w:val="00E32D4C"/>
    <w:rsid w:val="00E34DB8"/>
    <w:rsid w:val="00E34F83"/>
    <w:rsid w:val="00E355A3"/>
    <w:rsid w:val="00E36B6A"/>
    <w:rsid w:val="00E3702D"/>
    <w:rsid w:val="00E4070A"/>
    <w:rsid w:val="00E407CD"/>
    <w:rsid w:val="00E413C4"/>
    <w:rsid w:val="00E415F0"/>
    <w:rsid w:val="00E429D9"/>
    <w:rsid w:val="00E42E42"/>
    <w:rsid w:val="00E44682"/>
    <w:rsid w:val="00E44974"/>
    <w:rsid w:val="00E45953"/>
    <w:rsid w:val="00E46E22"/>
    <w:rsid w:val="00E47872"/>
    <w:rsid w:val="00E47A75"/>
    <w:rsid w:val="00E47BE2"/>
    <w:rsid w:val="00E5071B"/>
    <w:rsid w:val="00E509DF"/>
    <w:rsid w:val="00E50AC2"/>
    <w:rsid w:val="00E51735"/>
    <w:rsid w:val="00E51DD1"/>
    <w:rsid w:val="00E52780"/>
    <w:rsid w:val="00E536A6"/>
    <w:rsid w:val="00E53B2A"/>
    <w:rsid w:val="00E53D05"/>
    <w:rsid w:val="00E550D7"/>
    <w:rsid w:val="00E550E2"/>
    <w:rsid w:val="00E55EDA"/>
    <w:rsid w:val="00E56A34"/>
    <w:rsid w:val="00E56E3B"/>
    <w:rsid w:val="00E56E46"/>
    <w:rsid w:val="00E57E8C"/>
    <w:rsid w:val="00E61688"/>
    <w:rsid w:val="00E61789"/>
    <w:rsid w:val="00E619D6"/>
    <w:rsid w:val="00E634E9"/>
    <w:rsid w:val="00E63D1E"/>
    <w:rsid w:val="00E640B9"/>
    <w:rsid w:val="00E6420A"/>
    <w:rsid w:val="00E64AC3"/>
    <w:rsid w:val="00E64C8B"/>
    <w:rsid w:val="00E65959"/>
    <w:rsid w:val="00E65CC3"/>
    <w:rsid w:val="00E668C3"/>
    <w:rsid w:val="00E6696B"/>
    <w:rsid w:val="00E67B2F"/>
    <w:rsid w:val="00E67F05"/>
    <w:rsid w:val="00E70905"/>
    <w:rsid w:val="00E7093C"/>
    <w:rsid w:val="00E70EDA"/>
    <w:rsid w:val="00E719CF"/>
    <w:rsid w:val="00E71C14"/>
    <w:rsid w:val="00E71CB2"/>
    <w:rsid w:val="00E71D1F"/>
    <w:rsid w:val="00E72055"/>
    <w:rsid w:val="00E721D8"/>
    <w:rsid w:val="00E7249F"/>
    <w:rsid w:val="00E7286A"/>
    <w:rsid w:val="00E72C4A"/>
    <w:rsid w:val="00E74D15"/>
    <w:rsid w:val="00E74F9D"/>
    <w:rsid w:val="00E75EDE"/>
    <w:rsid w:val="00E7628C"/>
    <w:rsid w:val="00E76CCE"/>
    <w:rsid w:val="00E76DDA"/>
    <w:rsid w:val="00E80123"/>
    <w:rsid w:val="00E814D9"/>
    <w:rsid w:val="00E81679"/>
    <w:rsid w:val="00E81728"/>
    <w:rsid w:val="00E81F92"/>
    <w:rsid w:val="00E81FA8"/>
    <w:rsid w:val="00E825EE"/>
    <w:rsid w:val="00E8354D"/>
    <w:rsid w:val="00E83C1D"/>
    <w:rsid w:val="00E84C3D"/>
    <w:rsid w:val="00E8546B"/>
    <w:rsid w:val="00E854CD"/>
    <w:rsid w:val="00E8577A"/>
    <w:rsid w:val="00E8597A"/>
    <w:rsid w:val="00E85A49"/>
    <w:rsid w:val="00E86753"/>
    <w:rsid w:val="00E87BC5"/>
    <w:rsid w:val="00E87F07"/>
    <w:rsid w:val="00E9182B"/>
    <w:rsid w:val="00E91EDB"/>
    <w:rsid w:val="00E922A9"/>
    <w:rsid w:val="00E92492"/>
    <w:rsid w:val="00E932D8"/>
    <w:rsid w:val="00E936FD"/>
    <w:rsid w:val="00E93D1C"/>
    <w:rsid w:val="00E959F8"/>
    <w:rsid w:val="00E95D46"/>
    <w:rsid w:val="00E96714"/>
    <w:rsid w:val="00E9696D"/>
    <w:rsid w:val="00E96C60"/>
    <w:rsid w:val="00E9753B"/>
    <w:rsid w:val="00E975F3"/>
    <w:rsid w:val="00E9789E"/>
    <w:rsid w:val="00E97C7C"/>
    <w:rsid w:val="00E97FE2"/>
    <w:rsid w:val="00EA0600"/>
    <w:rsid w:val="00EA073A"/>
    <w:rsid w:val="00EA10F7"/>
    <w:rsid w:val="00EA1522"/>
    <w:rsid w:val="00EA1A97"/>
    <w:rsid w:val="00EA1EEE"/>
    <w:rsid w:val="00EA1FB0"/>
    <w:rsid w:val="00EA22F3"/>
    <w:rsid w:val="00EA2457"/>
    <w:rsid w:val="00EA4F96"/>
    <w:rsid w:val="00EA53FC"/>
    <w:rsid w:val="00EA7DA1"/>
    <w:rsid w:val="00EA7E4A"/>
    <w:rsid w:val="00EB0DB5"/>
    <w:rsid w:val="00EB0DB9"/>
    <w:rsid w:val="00EB1041"/>
    <w:rsid w:val="00EB17BB"/>
    <w:rsid w:val="00EB3A64"/>
    <w:rsid w:val="00EB3DDF"/>
    <w:rsid w:val="00EB41CE"/>
    <w:rsid w:val="00EB4D1C"/>
    <w:rsid w:val="00EB4FA8"/>
    <w:rsid w:val="00EB4FD8"/>
    <w:rsid w:val="00EB50D8"/>
    <w:rsid w:val="00EB5157"/>
    <w:rsid w:val="00EB5F45"/>
    <w:rsid w:val="00EB6173"/>
    <w:rsid w:val="00EB64AF"/>
    <w:rsid w:val="00EB6CA0"/>
    <w:rsid w:val="00EB6D60"/>
    <w:rsid w:val="00EC0660"/>
    <w:rsid w:val="00EC1267"/>
    <w:rsid w:val="00EC1ACB"/>
    <w:rsid w:val="00EC1DE0"/>
    <w:rsid w:val="00EC2F3A"/>
    <w:rsid w:val="00EC3572"/>
    <w:rsid w:val="00EC3CF9"/>
    <w:rsid w:val="00EC3DE8"/>
    <w:rsid w:val="00EC5800"/>
    <w:rsid w:val="00EC5B9C"/>
    <w:rsid w:val="00EC5BA8"/>
    <w:rsid w:val="00EC6218"/>
    <w:rsid w:val="00EC6989"/>
    <w:rsid w:val="00EC6F33"/>
    <w:rsid w:val="00EC7135"/>
    <w:rsid w:val="00ED00D5"/>
    <w:rsid w:val="00ED0104"/>
    <w:rsid w:val="00ED03FA"/>
    <w:rsid w:val="00ED047C"/>
    <w:rsid w:val="00ED0BFA"/>
    <w:rsid w:val="00ED10DF"/>
    <w:rsid w:val="00ED1945"/>
    <w:rsid w:val="00ED283A"/>
    <w:rsid w:val="00ED2D8E"/>
    <w:rsid w:val="00ED4557"/>
    <w:rsid w:val="00ED5496"/>
    <w:rsid w:val="00ED5AB3"/>
    <w:rsid w:val="00ED5CA3"/>
    <w:rsid w:val="00EE0C8A"/>
    <w:rsid w:val="00EE1287"/>
    <w:rsid w:val="00EE2951"/>
    <w:rsid w:val="00EE2D19"/>
    <w:rsid w:val="00EE3002"/>
    <w:rsid w:val="00EE3421"/>
    <w:rsid w:val="00EE351D"/>
    <w:rsid w:val="00EE3D6E"/>
    <w:rsid w:val="00EE4F0F"/>
    <w:rsid w:val="00EE5E39"/>
    <w:rsid w:val="00EE7794"/>
    <w:rsid w:val="00EF0A89"/>
    <w:rsid w:val="00EF0E9E"/>
    <w:rsid w:val="00EF2A16"/>
    <w:rsid w:val="00EF315B"/>
    <w:rsid w:val="00EF4C7B"/>
    <w:rsid w:val="00EF56F1"/>
    <w:rsid w:val="00EF593B"/>
    <w:rsid w:val="00EF6C22"/>
    <w:rsid w:val="00EF6C31"/>
    <w:rsid w:val="00EF78C0"/>
    <w:rsid w:val="00EF7F95"/>
    <w:rsid w:val="00F001DD"/>
    <w:rsid w:val="00F003B2"/>
    <w:rsid w:val="00F01232"/>
    <w:rsid w:val="00F016D0"/>
    <w:rsid w:val="00F03223"/>
    <w:rsid w:val="00F041BD"/>
    <w:rsid w:val="00F04252"/>
    <w:rsid w:val="00F0456B"/>
    <w:rsid w:val="00F046C9"/>
    <w:rsid w:val="00F05773"/>
    <w:rsid w:val="00F06B20"/>
    <w:rsid w:val="00F06D6F"/>
    <w:rsid w:val="00F06E97"/>
    <w:rsid w:val="00F0729A"/>
    <w:rsid w:val="00F073D4"/>
    <w:rsid w:val="00F078D1"/>
    <w:rsid w:val="00F07B48"/>
    <w:rsid w:val="00F10CA8"/>
    <w:rsid w:val="00F10D3D"/>
    <w:rsid w:val="00F11AA5"/>
    <w:rsid w:val="00F11F24"/>
    <w:rsid w:val="00F12F2F"/>
    <w:rsid w:val="00F132DB"/>
    <w:rsid w:val="00F138E8"/>
    <w:rsid w:val="00F13AE9"/>
    <w:rsid w:val="00F14370"/>
    <w:rsid w:val="00F162A7"/>
    <w:rsid w:val="00F1669C"/>
    <w:rsid w:val="00F16904"/>
    <w:rsid w:val="00F16D04"/>
    <w:rsid w:val="00F17031"/>
    <w:rsid w:val="00F17114"/>
    <w:rsid w:val="00F179A3"/>
    <w:rsid w:val="00F20258"/>
    <w:rsid w:val="00F20323"/>
    <w:rsid w:val="00F20CC0"/>
    <w:rsid w:val="00F20DC7"/>
    <w:rsid w:val="00F20DF6"/>
    <w:rsid w:val="00F21262"/>
    <w:rsid w:val="00F21A1A"/>
    <w:rsid w:val="00F21D58"/>
    <w:rsid w:val="00F225BE"/>
    <w:rsid w:val="00F23A7A"/>
    <w:rsid w:val="00F24D9E"/>
    <w:rsid w:val="00F24E5E"/>
    <w:rsid w:val="00F254EB"/>
    <w:rsid w:val="00F258A6"/>
    <w:rsid w:val="00F25A98"/>
    <w:rsid w:val="00F25E3B"/>
    <w:rsid w:val="00F26763"/>
    <w:rsid w:val="00F26873"/>
    <w:rsid w:val="00F300AB"/>
    <w:rsid w:val="00F309BB"/>
    <w:rsid w:val="00F312B9"/>
    <w:rsid w:val="00F316AC"/>
    <w:rsid w:val="00F320AE"/>
    <w:rsid w:val="00F32102"/>
    <w:rsid w:val="00F321F2"/>
    <w:rsid w:val="00F32723"/>
    <w:rsid w:val="00F331D7"/>
    <w:rsid w:val="00F338C0"/>
    <w:rsid w:val="00F34B45"/>
    <w:rsid w:val="00F35541"/>
    <w:rsid w:val="00F35F4A"/>
    <w:rsid w:val="00F360B3"/>
    <w:rsid w:val="00F363A8"/>
    <w:rsid w:val="00F36D4B"/>
    <w:rsid w:val="00F37062"/>
    <w:rsid w:val="00F3748A"/>
    <w:rsid w:val="00F37847"/>
    <w:rsid w:val="00F37B7D"/>
    <w:rsid w:val="00F37FBA"/>
    <w:rsid w:val="00F41A35"/>
    <w:rsid w:val="00F42015"/>
    <w:rsid w:val="00F4207F"/>
    <w:rsid w:val="00F426A2"/>
    <w:rsid w:val="00F426BA"/>
    <w:rsid w:val="00F4461A"/>
    <w:rsid w:val="00F44703"/>
    <w:rsid w:val="00F453CB"/>
    <w:rsid w:val="00F45AA8"/>
    <w:rsid w:val="00F47287"/>
    <w:rsid w:val="00F4743F"/>
    <w:rsid w:val="00F475E3"/>
    <w:rsid w:val="00F47722"/>
    <w:rsid w:val="00F47A7E"/>
    <w:rsid w:val="00F501A4"/>
    <w:rsid w:val="00F5285D"/>
    <w:rsid w:val="00F52D39"/>
    <w:rsid w:val="00F53FC8"/>
    <w:rsid w:val="00F5431F"/>
    <w:rsid w:val="00F54336"/>
    <w:rsid w:val="00F54F34"/>
    <w:rsid w:val="00F5637E"/>
    <w:rsid w:val="00F56B16"/>
    <w:rsid w:val="00F56EF7"/>
    <w:rsid w:val="00F576E4"/>
    <w:rsid w:val="00F578C2"/>
    <w:rsid w:val="00F578E4"/>
    <w:rsid w:val="00F57B4A"/>
    <w:rsid w:val="00F6059A"/>
    <w:rsid w:val="00F609B9"/>
    <w:rsid w:val="00F60C33"/>
    <w:rsid w:val="00F616E5"/>
    <w:rsid w:val="00F61F4D"/>
    <w:rsid w:val="00F61FF5"/>
    <w:rsid w:val="00F620E3"/>
    <w:rsid w:val="00F6294D"/>
    <w:rsid w:val="00F62F00"/>
    <w:rsid w:val="00F638AD"/>
    <w:rsid w:val="00F63D99"/>
    <w:rsid w:val="00F63FAE"/>
    <w:rsid w:val="00F64852"/>
    <w:rsid w:val="00F64E4F"/>
    <w:rsid w:val="00F64EB4"/>
    <w:rsid w:val="00F650CC"/>
    <w:rsid w:val="00F65C94"/>
    <w:rsid w:val="00F65E94"/>
    <w:rsid w:val="00F66533"/>
    <w:rsid w:val="00F6679E"/>
    <w:rsid w:val="00F6727B"/>
    <w:rsid w:val="00F67550"/>
    <w:rsid w:val="00F67A28"/>
    <w:rsid w:val="00F70237"/>
    <w:rsid w:val="00F7038F"/>
    <w:rsid w:val="00F710E3"/>
    <w:rsid w:val="00F71551"/>
    <w:rsid w:val="00F728E1"/>
    <w:rsid w:val="00F72F97"/>
    <w:rsid w:val="00F73BAA"/>
    <w:rsid w:val="00F7406C"/>
    <w:rsid w:val="00F74514"/>
    <w:rsid w:val="00F75CCC"/>
    <w:rsid w:val="00F76309"/>
    <w:rsid w:val="00F802A8"/>
    <w:rsid w:val="00F80F18"/>
    <w:rsid w:val="00F81CD2"/>
    <w:rsid w:val="00F8286A"/>
    <w:rsid w:val="00F82B74"/>
    <w:rsid w:val="00F82D6C"/>
    <w:rsid w:val="00F82E90"/>
    <w:rsid w:val="00F84388"/>
    <w:rsid w:val="00F843EF"/>
    <w:rsid w:val="00F8444F"/>
    <w:rsid w:val="00F846A1"/>
    <w:rsid w:val="00F84F4B"/>
    <w:rsid w:val="00F85770"/>
    <w:rsid w:val="00F859E4"/>
    <w:rsid w:val="00F859E9"/>
    <w:rsid w:val="00F86278"/>
    <w:rsid w:val="00F86286"/>
    <w:rsid w:val="00F905D8"/>
    <w:rsid w:val="00F90CCE"/>
    <w:rsid w:val="00F9148B"/>
    <w:rsid w:val="00F9196E"/>
    <w:rsid w:val="00F91C6C"/>
    <w:rsid w:val="00F9313D"/>
    <w:rsid w:val="00F936D7"/>
    <w:rsid w:val="00F93A0F"/>
    <w:rsid w:val="00F93A9F"/>
    <w:rsid w:val="00F95FE0"/>
    <w:rsid w:val="00F9738F"/>
    <w:rsid w:val="00F97DA4"/>
    <w:rsid w:val="00F97EC2"/>
    <w:rsid w:val="00FA037A"/>
    <w:rsid w:val="00FA0557"/>
    <w:rsid w:val="00FA43E7"/>
    <w:rsid w:val="00FA56F0"/>
    <w:rsid w:val="00FA5DA7"/>
    <w:rsid w:val="00FA6A40"/>
    <w:rsid w:val="00FA6F20"/>
    <w:rsid w:val="00FA7026"/>
    <w:rsid w:val="00FB0702"/>
    <w:rsid w:val="00FB0829"/>
    <w:rsid w:val="00FB0C79"/>
    <w:rsid w:val="00FB1395"/>
    <w:rsid w:val="00FB1545"/>
    <w:rsid w:val="00FB1F73"/>
    <w:rsid w:val="00FB28DF"/>
    <w:rsid w:val="00FB2DA1"/>
    <w:rsid w:val="00FB41AF"/>
    <w:rsid w:val="00FB6B2C"/>
    <w:rsid w:val="00FB6EB4"/>
    <w:rsid w:val="00FB6F6D"/>
    <w:rsid w:val="00FB7E60"/>
    <w:rsid w:val="00FC07AE"/>
    <w:rsid w:val="00FC094C"/>
    <w:rsid w:val="00FC0AB8"/>
    <w:rsid w:val="00FC0F82"/>
    <w:rsid w:val="00FC1C30"/>
    <w:rsid w:val="00FC21E3"/>
    <w:rsid w:val="00FC250C"/>
    <w:rsid w:val="00FC3153"/>
    <w:rsid w:val="00FC376E"/>
    <w:rsid w:val="00FC3E9B"/>
    <w:rsid w:val="00FC4B2D"/>
    <w:rsid w:val="00FC552F"/>
    <w:rsid w:val="00FC5941"/>
    <w:rsid w:val="00FC59D4"/>
    <w:rsid w:val="00FC5F1C"/>
    <w:rsid w:val="00FC66C2"/>
    <w:rsid w:val="00FC7654"/>
    <w:rsid w:val="00FD0808"/>
    <w:rsid w:val="00FD0AA7"/>
    <w:rsid w:val="00FD0E66"/>
    <w:rsid w:val="00FD1109"/>
    <w:rsid w:val="00FD1782"/>
    <w:rsid w:val="00FD1FE5"/>
    <w:rsid w:val="00FD24B8"/>
    <w:rsid w:val="00FD2D70"/>
    <w:rsid w:val="00FD3722"/>
    <w:rsid w:val="00FD3E2D"/>
    <w:rsid w:val="00FD4EB4"/>
    <w:rsid w:val="00FD6B8E"/>
    <w:rsid w:val="00FD6E61"/>
    <w:rsid w:val="00FE08AA"/>
    <w:rsid w:val="00FE1A86"/>
    <w:rsid w:val="00FE2272"/>
    <w:rsid w:val="00FE23D5"/>
    <w:rsid w:val="00FE2E06"/>
    <w:rsid w:val="00FE32CA"/>
    <w:rsid w:val="00FE3345"/>
    <w:rsid w:val="00FE3AF5"/>
    <w:rsid w:val="00FE547C"/>
    <w:rsid w:val="00FE57E4"/>
    <w:rsid w:val="00FE5D55"/>
    <w:rsid w:val="00FE5F8E"/>
    <w:rsid w:val="00FE6953"/>
    <w:rsid w:val="00FE72BA"/>
    <w:rsid w:val="00FE7B25"/>
    <w:rsid w:val="00FF02E0"/>
    <w:rsid w:val="00FF0E30"/>
    <w:rsid w:val="00FF13EC"/>
    <w:rsid w:val="00FF2354"/>
    <w:rsid w:val="00FF238A"/>
    <w:rsid w:val="00FF23B6"/>
    <w:rsid w:val="00FF2492"/>
    <w:rsid w:val="00FF270A"/>
    <w:rsid w:val="00FF2840"/>
    <w:rsid w:val="00FF2B7C"/>
    <w:rsid w:val="00FF2BEE"/>
    <w:rsid w:val="00FF4EDF"/>
    <w:rsid w:val="00FF59D2"/>
    <w:rsid w:val="00FF5BE6"/>
    <w:rsid w:val="00FF635A"/>
    <w:rsid w:val="00FF63F9"/>
    <w:rsid w:val="00FF7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color="#9bbb59" strokecolor="#f2f2f2">
      <v:fill color="#9bbb59"/>
      <v:stroke color="#f2f2f2" weight="3pt"/>
      <v:shadow on="t" type="perspective" color="#4e6128" opacity=".5" origin=",.5" offset="0,0" matrix=",-56756f,,.5"/>
    </o:shapedefaults>
    <o:shapelayout v:ext="edit">
      <o:idmap v:ext="edit" data="1"/>
    </o:shapelayout>
  </w:shapeDefaults>
  <w:decimalSymbol w:val=","/>
  <w:listSeparator w:val=";"/>
  <w14:docId w14:val="4DBADBD1"/>
  <w15:docId w15:val="{D433CE77-9AE1-47CF-9D99-40B6E8156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pacing w:after="200" w:line="276" w:lineRule="auto"/>
    </w:pPr>
    <w:rPr>
      <w:sz w:val="22"/>
      <w:szCs w:val="22"/>
      <w:lang w:eastAsia="en-US"/>
    </w:rPr>
  </w:style>
  <w:style w:type="paragraph" w:styleId="Titolo1">
    <w:name w:val="heading 1"/>
    <w:basedOn w:val="Normale"/>
    <w:next w:val="Normale"/>
    <w:link w:val="Titolo1Carattere"/>
    <w:uiPriority w:val="9"/>
    <w:qFormat/>
    <w:rsid w:val="00426734"/>
    <w:pPr>
      <w:keepNext/>
      <w:spacing w:after="0"/>
      <w:jc w:val="center"/>
      <w:outlineLvl w:val="0"/>
    </w:pPr>
    <w:rPr>
      <w:rFonts w:ascii="Times New Roman" w:eastAsia="Times New Roman" w:hAnsi="Times New Roman"/>
      <w:b/>
      <w:bCs/>
      <w:color w:val="2E74B5" w:themeColor="accent1" w:themeShade="BF"/>
      <w:kern w:val="32"/>
      <w:sz w:val="40"/>
      <w:szCs w:val="32"/>
      <w:lang w:val="x-none"/>
    </w:rPr>
  </w:style>
  <w:style w:type="paragraph" w:styleId="Titolo2">
    <w:name w:val="heading 2"/>
    <w:basedOn w:val="Normale"/>
    <w:next w:val="Normale"/>
    <w:link w:val="Titolo2Carattere"/>
    <w:uiPriority w:val="9"/>
    <w:unhideWhenUsed/>
    <w:qFormat/>
    <w:rsid w:val="00426734"/>
    <w:pPr>
      <w:keepNext/>
      <w:widowControl w:val="0"/>
      <w:numPr>
        <w:numId w:val="31"/>
      </w:numPr>
      <w:spacing w:after="0" w:line="240" w:lineRule="auto"/>
      <w:ind w:left="720"/>
      <w:outlineLvl w:val="1"/>
    </w:pPr>
    <w:rPr>
      <w:rFonts w:ascii="Times New Roman" w:eastAsia="Times New Roman" w:hAnsi="Times New Roman"/>
      <w:b/>
      <w:bCs/>
      <w:iCs/>
      <w:color w:val="C45911" w:themeColor="accent2" w:themeShade="BF"/>
      <w:sz w:val="20"/>
      <w:szCs w:val="20"/>
    </w:rPr>
  </w:style>
  <w:style w:type="paragraph" w:styleId="Titolo3">
    <w:name w:val="heading 3"/>
    <w:basedOn w:val="Paragrafoelenco"/>
    <w:next w:val="Elencocontinua2"/>
    <w:link w:val="Titolo3Carattere"/>
    <w:uiPriority w:val="9"/>
    <w:unhideWhenUsed/>
    <w:qFormat/>
    <w:rsid w:val="00426734"/>
    <w:pPr>
      <w:keepNext/>
      <w:numPr>
        <w:numId w:val="33"/>
      </w:numPr>
      <w:spacing w:after="0"/>
      <w:outlineLvl w:val="2"/>
    </w:pPr>
    <w:rPr>
      <w:rFonts w:ascii="Times New Roman" w:eastAsia="Times New Roman" w:hAnsi="Times New Roman"/>
      <w:b/>
      <w:bCs/>
      <w:color w:val="0070C0"/>
      <w:sz w:val="20"/>
      <w:szCs w:val="26"/>
      <w:lang w:val="x-none"/>
    </w:rPr>
  </w:style>
  <w:style w:type="paragraph" w:styleId="Titolo4">
    <w:name w:val="heading 4"/>
    <w:basedOn w:val="Normale"/>
    <w:next w:val="Normale"/>
    <w:link w:val="Titolo4Carattere"/>
    <w:uiPriority w:val="9"/>
    <w:unhideWhenUsed/>
    <w:qFormat/>
    <w:rsid w:val="00426734"/>
    <w:pPr>
      <w:keepNext/>
      <w:spacing w:after="0"/>
      <w:ind w:left="567" w:hanging="567"/>
      <w:outlineLvl w:val="3"/>
    </w:pPr>
    <w:rPr>
      <w:rFonts w:ascii="Times New Roman" w:eastAsia="Times New Roman" w:hAnsi="Times New Roman"/>
      <w:bCs/>
      <w:color w:val="0070C0"/>
      <w:sz w:val="20"/>
      <w:szCs w:val="28"/>
      <w:lang w:val="x-none"/>
    </w:rPr>
  </w:style>
  <w:style w:type="paragraph" w:styleId="Titolo5">
    <w:name w:val="heading 5"/>
    <w:basedOn w:val="Normale"/>
    <w:next w:val="Normale"/>
    <w:link w:val="Titolo5Carattere"/>
    <w:uiPriority w:val="9"/>
    <w:semiHidden/>
    <w:unhideWhenUsed/>
    <w:qFormat/>
    <w:rsid w:val="00123937"/>
    <w:pPr>
      <w:keepNext/>
      <w:keepLines/>
      <w:spacing w:before="40" w:after="0" w:line="259" w:lineRule="auto"/>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rsid w:val="00FF0E30"/>
    <w:pPr>
      <w:spacing w:before="240" w:after="60"/>
      <w:outlineLvl w:val="5"/>
    </w:pPr>
    <w:rPr>
      <w:rFonts w:eastAsia="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6615B7"/>
    <w:rPr>
      <w:rFonts w:ascii="Times New Roman" w:eastAsia="Times New Roman" w:hAnsi="Times New Roman"/>
      <w:b/>
      <w:bCs/>
      <w:color w:val="2E74B5" w:themeColor="accent1" w:themeShade="BF"/>
      <w:kern w:val="32"/>
      <w:sz w:val="40"/>
      <w:szCs w:val="32"/>
      <w:lang w:val="x-none" w:eastAsia="en-US"/>
    </w:rPr>
  </w:style>
  <w:style w:type="character" w:customStyle="1" w:styleId="Titolo2Carattere">
    <w:name w:val="Titolo 2 Carattere"/>
    <w:link w:val="Titolo2"/>
    <w:uiPriority w:val="9"/>
    <w:rsid w:val="006615B7"/>
    <w:rPr>
      <w:rFonts w:ascii="Times New Roman" w:eastAsia="Times New Roman" w:hAnsi="Times New Roman"/>
      <w:b/>
      <w:bCs/>
      <w:iCs/>
      <w:color w:val="C45911" w:themeColor="accent2" w:themeShade="BF"/>
      <w:lang w:eastAsia="en-US"/>
    </w:rPr>
  </w:style>
  <w:style w:type="character" w:customStyle="1" w:styleId="Titolo3Carattere">
    <w:name w:val="Titolo 3 Carattere"/>
    <w:link w:val="Titolo3"/>
    <w:uiPriority w:val="9"/>
    <w:rsid w:val="006615B7"/>
    <w:rPr>
      <w:rFonts w:ascii="Times New Roman" w:eastAsia="Times New Roman" w:hAnsi="Times New Roman"/>
      <w:b/>
      <w:bCs/>
      <w:color w:val="0070C0"/>
      <w:szCs w:val="26"/>
      <w:lang w:val="x-none" w:eastAsia="en-US"/>
    </w:rPr>
  </w:style>
  <w:style w:type="character" w:customStyle="1" w:styleId="Titolo4Carattere">
    <w:name w:val="Titolo 4 Carattere"/>
    <w:link w:val="Titolo4"/>
    <w:uiPriority w:val="9"/>
    <w:rsid w:val="00BC53FA"/>
    <w:rPr>
      <w:rFonts w:ascii="Times New Roman" w:eastAsia="Times New Roman" w:hAnsi="Times New Roman"/>
      <w:bCs/>
      <w:color w:val="0070C0"/>
      <w:szCs w:val="28"/>
      <w:lang w:val="x-none" w:eastAsia="en-US"/>
    </w:rPr>
  </w:style>
  <w:style w:type="character" w:customStyle="1" w:styleId="Titolo6Carattere">
    <w:name w:val="Titolo 6 Carattere"/>
    <w:link w:val="Titolo6"/>
    <w:uiPriority w:val="9"/>
    <w:semiHidden/>
    <w:rsid w:val="00FF0E30"/>
    <w:rPr>
      <w:rFonts w:ascii="Calibri" w:eastAsia="Times New Roman" w:hAnsi="Calibri" w:cs="Times New Roman"/>
      <w:b/>
      <w:bCs/>
      <w:sz w:val="22"/>
      <w:szCs w:val="22"/>
      <w:lang w:eastAsia="en-US"/>
    </w:rPr>
  </w:style>
  <w:style w:type="paragraph" w:customStyle="1" w:styleId="Default">
    <w:name w:val="Default"/>
    <w:rsid w:val="000245D8"/>
    <w:pPr>
      <w:autoSpaceDE w:val="0"/>
      <w:autoSpaceDN w:val="0"/>
      <w:adjustRightInd w:val="0"/>
    </w:pPr>
    <w:rPr>
      <w:rFonts w:ascii="Garamond" w:hAnsi="Garamond" w:cs="Garamond"/>
      <w:color w:val="000000"/>
      <w:sz w:val="24"/>
      <w:szCs w:val="24"/>
    </w:rPr>
  </w:style>
  <w:style w:type="paragraph" w:styleId="Intestazione">
    <w:name w:val="header"/>
    <w:basedOn w:val="Normale"/>
    <w:link w:val="IntestazioneCarattere"/>
    <w:uiPriority w:val="99"/>
    <w:unhideWhenUsed/>
    <w:rsid w:val="00CB77A2"/>
    <w:pPr>
      <w:tabs>
        <w:tab w:val="center" w:pos="4819"/>
        <w:tab w:val="right" w:pos="9638"/>
      </w:tabs>
    </w:pPr>
    <w:rPr>
      <w:lang w:val="x-none"/>
    </w:rPr>
  </w:style>
  <w:style w:type="character" w:customStyle="1" w:styleId="IntestazioneCarattere">
    <w:name w:val="Intestazione Carattere"/>
    <w:link w:val="Intestazione"/>
    <w:uiPriority w:val="99"/>
    <w:rsid w:val="00CB77A2"/>
    <w:rPr>
      <w:sz w:val="22"/>
      <w:szCs w:val="22"/>
      <w:lang w:eastAsia="en-US"/>
    </w:rPr>
  </w:style>
  <w:style w:type="paragraph" w:styleId="Pidipagina">
    <w:name w:val="footer"/>
    <w:basedOn w:val="Normale"/>
    <w:link w:val="PidipaginaCarattere"/>
    <w:uiPriority w:val="99"/>
    <w:unhideWhenUsed/>
    <w:rsid w:val="00CB77A2"/>
    <w:pPr>
      <w:tabs>
        <w:tab w:val="center" w:pos="4819"/>
        <w:tab w:val="right" w:pos="9638"/>
      </w:tabs>
    </w:pPr>
    <w:rPr>
      <w:lang w:val="x-none"/>
    </w:rPr>
  </w:style>
  <w:style w:type="character" w:customStyle="1" w:styleId="PidipaginaCarattere">
    <w:name w:val="Piè di pagina Carattere"/>
    <w:link w:val="Pidipagina"/>
    <w:uiPriority w:val="99"/>
    <w:rsid w:val="00CB77A2"/>
    <w:rPr>
      <w:sz w:val="22"/>
      <w:szCs w:val="22"/>
      <w:lang w:eastAsia="en-US"/>
    </w:rPr>
  </w:style>
  <w:style w:type="character" w:styleId="Rimandocommento">
    <w:name w:val="annotation reference"/>
    <w:uiPriority w:val="99"/>
    <w:semiHidden/>
    <w:unhideWhenUsed/>
    <w:rsid w:val="00680152"/>
    <w:rPr>
      <w:sz w:val="16"/>
      <w:szCs w:val="16"/>
    </w:rPr>
  </w:style>
  <w:style w:type="paragraph" w:styleId="Testocommento">
    <w:name w:val="annotation text"/>
    <w:basedOn w:val="Normale"/>
    <w:link w:val="TestocommentoCarattere"/>
    <w:uiPriority w:val="99"/>
    <w:semiHidden/>
    <w:unhideWhenUsed/>
    <w:rsid w:val="00680152"/>
    <w:rPr>
      <w:sz w:val="20"/>
      <w:szCs w:val="20"/>
      <w:lang w:val="x-none"/>
    </w:rPr>
  </w:style>
  <w:style w:type="character" w:customStyle="1" w:styleId="TestocommentoCarattere">
    <w:name w:val="Testo commento Carattere"/>
    <w:link w:val="Testocommento"/>
    <w:uiPriority w:val="99"/>
    <w:semiHidden/>
    <w:rsid w:val="00680152"/>
    <w:rPr>
      <w:lang w:eastAsia="en-US"/>
    </w:rPr>
  </w:style>
  <w:style w:type="paragraph" w:styleId="Soggettocommento">
    <w:name w:val="annotation subject"/>
    <w:basedOn w:val="Testocommento"/>
    <w:next w:val="Testocommento"/>
    <w:link w:val="SoggettocommentoCarattere"/>
    <w:uiPriority w:val="99"/>
    <w:semiHidden/>
    <w:unhideWhenUsed/>
    <w:rsid w:val="00680152"/>
    <w:rPr>
      <w:b/>
      <w:bCs/>
    </w:rPr>
  </w:style>
  <w:style w:type="character" w:customStyle="1" w:styleId="SoggettocommentoCarattere">
    <w:name w:val="Soggetto commento Carattere"/>
    <w:link w:val="Soggettocommento"/>
    <w:uiPriority w:val="99"/>
    <w:semiHidden/>
    <w:rsid w:val="00680152"/>
    <w:rPr>
      <w:b/>
      <w:bCs/>
      <w:lang w:eastAsia="en-US"/>
    </w:rPr>
  </w:style>
  <w:style w:type="paragraph" w:styleId="Testofumetto">
    <w:name w:val="Balloon Text"/>
    <w:basedOn w:val="Normale"/>
    <w:link w:val="TestofumettoCarattere"/>
    <w:uiPriority w:val="99"/>
    <w:semiHidden/>
    <w:unhideWhenUsed/>
    <w:rsid w:val="00680152"/>
    <w:pPr>
      <w:spacing w:after="0" w:line="240" w:lineRule="auto"/>
    </w:pPr>
    <w:rPr>
      <w:rFonts w:ascii="Segoe UI" w:hAnsi="Segoe UI"/>
      <w:sz w:val="18"/>
      <w:szCs w:val="18"/>
      <w:lang w:val="x-none"/>
    </w:rPr>
  </w:style>
  <w:style w:type="character" w:customStyle="1" w:styleId="TestofumettoCarattere">
    <w:name w:val="Testo fumetto Carattere"/>
    <w:link w:val="Testofumetto"/>
    <w:uiPriority w:val="99"/>
    <w:semiHidden/>
    <w:rsid w:val="00680152"/>
    <w:rPr>
      <w:rFonts w:ascii="Segoe UI" w:hAnsi="Segoe UI" w:cs="Segoe UI"/>
      <w:sz w:val="18"/>
      <w:szCs w:val="18"/>
      <w:lang w:eastAsia="en-US"/>
    </w:rPr>
  </w:style>
  <w:style w:type="paragraph" w:styleId="Didascalia">
    <w:name w:val="caption"/>
    <w:basedOn w:val="Normale"/>
    <w:next w:val="Normale"/>
    <w:qFormat/>
    <w:rsid w:val="00F001DD"/>
    <w:pPr>
      <w:spacing w:after="0" w:line="240" w:lineRule="auto"/>
      <w:jc w:val="center"/>
    </w:pPr>
    <w:rPr>
      <w:rFonts w:ascii="Times New Roman" w:eastAsia="Times New Roman" w:hAnsi="Times New Roman"/>
      <w:sz w:val="36"/>
      <w:szCs w:val="20"/>
      <w:lang w:eastAsia="it-IT"/>
    </w:rPr>
  </w:style>
  <w:style w:type="paragraph" w:styleId="Testonotaapidipagina">
    <w:name w:val="footnote text"/>
    <w:basedOn w:val="Normale"/>
    <w:link w:val="TestonotaapidipaginaCarattere"/>
    <w:uiPriority w:val="99"/>
    <w:semiHidden/>
    <w:unhideWhenUsed/>
    <w:rsid w:val="0067790E"/>
    <w:rPr>
      <w:sz w:val="20"/>
      <w:szCs w:val="20"/>
      <w:lang w:val="x-none"/>
    </w:rPr>
  </w:style>
  <w:style w:type="character" w:customStyle="1" w:styleId="TestonotaapidipaginaCarattere">
    <w:name w:val="Testo nota a piè di pagina Carattere"/>
    <w:link w:val="Testonotaapidipagina"/>
    <w:uiPriority w:val="99"/>
    <w:semiHidden/>
    <w:rsid w:val="0067790E"/>
    <w:rPr>
      <w:lang w:eastAsia="en-US"/>
    </w:rPr>
  </w:style>
  <w:style w:type="character" w:styleId="Rimandonotaapidipagina">
    <w:name w:val="footnote reference"/>
    <w:uiPriority w:val="99"/>
    <w:semiHidden/>
    <w:unhideWhenUsed/>
    <w:rsid w:val="0067790E"/>
    <w:rPr>
      <w:vertAlign w:val="superscript"/>
    </w:rPr>
  </w:style>
  <w:style w:type="table" w:styleId="Grigliatabella">
    <w:name w:val="Table Grid"/>
    <w:basedOn w:val="Tabellanormale"/>
    <w:uiPriority w:val="59"/>
    <w:rsid w:val="004A4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426734"/>
    <w:pPr>
      <w:keepLines/>
      <w:spacing w:before="480"/>
      <w:outlineLvl w:val="9"/>
    </w:pPr>
    <w:rPr>
      <w:color w:val="365F91"/>
      <w:kern w:val="0"/>
      <w:sz w:val="28"/>
      <w:szCs w:val="28"/>
    </w:rPr>
  </w:style>
  <w:style w:type="paragraph" w:styleId="Sommario1">
    <w:name w:val="toc 1"/>
    <w:basedOn w:val="Normale"/>
    <w:next w:val="Normale"/>
    <w:autoRedefine/>
    <w:uiPriority w:val="39"/>
    <w:unhideWhenUsed/>
    <w:qFormat/>
    <w:rsid w:val="00BD3E17"/>
    <w:pPr>
      <w:shd w:val="clear" w:color="auto" w:fill="D9D9D9" w:themeFill="background1" w:themeFillShade="D9"/>
      <w:tabs>
        <w:tab w:val="right" w:leader="dot" w:pos="9061"/>
      </w:tabs>
      <w:spacing w:before="360" w:after="120"/>
      <w:ind w:right="849"/>
      <w:jc w:val="both"/>
    </w:pPr>
    <w:rPr>
      <w:rFonts w:ascii="Times New Roman" w:hAnsi="Times New Roman"/>
      <w:bCs/>
      <w:caps/>
      <w:smallCaps/>
      <w:noProof/>
      <w:sz w:val="20"/>
      <w:szCs w:val="20"/>
    </w:rPr>
  </w:style>
  <w:style w:type="character" w:styleId="Collegamentoipertestuale">
    <w:name w:val="Hyperlink"/>
    <w:uiPriority w:val="99"/>
    <w:unhideWhenUsed/>
    <w:rsid w:val="00F5285D"/>
    <w:rPr>
      <w:color w:val="0000FF"/>
      <w:u w:val="single"/>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locked/>
    <w:rsid w:val="00CC571D"/>
    <w:rPr>
      <w:sz w:val="19"/>
      <w:szCs w:val="19"/>
      <w:shd w:val="clear" w:color="auto" w:fill="FFFFFF"/>
    </w:rPr>
  </w:style>
  <w:style w:type="paragraph" w:customStyle="1" w:styleId="MSGENFONTSTYLENAMETEMPLATEROLEMSGENFONTSTYLENAMEBYROLETEXT1">
    <w:name w:val="MSG_EN_FONT_STYLE_NAME_TEMPLATE_ROLE MSG_EN_FONT_STYLE_NAME_BY_ROLE_TEXT1"/>
    <w:basedOn w:val="Normale"/>
    <w:link w:val="MSGENFONTSTYLENAMETEMPLATEROLEMSGENFONTSTYLENAMEBYROLETEXT"/>
    <w:uiPriority w:val="99"/>
    <w:rsid w:val="00CC571D"/>
    <w:pPr>
      <w:widowControl w:val="0"/>
      <w:shd w:val="clear" w:color="auto" w:fill="FFFFFF"/>
      <w:spacing w:after="0" w:line="254" w:lineRule="exact"/>
      <w:ind w:hanging="620"/>
      <w:jc w:val="both"/>
    </w:pPr>
    <w:rPr>
      <w:sz w:val="19"/>
      <w:szCs w:val="19"/>
      <w:lang w:val="x-none" w:eastAsia="x-none"/>
    </w:rPr>
  </w:style>
  <w:style w:type="paragraph" w:styleId="NormaleWeb">
    <w:name w:val="Normal (Web)"/>
    <w:basedOn w:val="Normale"/>
    <w:uiPriority w:val="99"/>
    <w:unhideWhenUsed/>
    <w:rsid w:val="00DB2454"/>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Corpodeltesto31">
    <w:name w:val="Corpo del testo 31"/>
    <w:basedOn w:val="Normale"/>
    <w:rsid w:val="002E702E"/>
    <w:pPr>
      <w:widowControl w:val="0"/>
      <w:suppressAutoHyphens/>
      <w:spacing w:after="0" w:line="480" w:lineRule="exact"/>
      <w:jc w:val="both"/>
    </w:pPr>
    <w:rPr>
      <w:rFonts w:ascii="Times New Roman" w:eastAsia="Times New Roman" w:hAnsi="Times New Roman"/>
      <w:lang w:eastAsia="ar-SA"/>
    </w:rPr>
  </w:style>
  <w:style w:type="character" w:styleId="Collegamentovisitato">
    <w:name w:val="FollowedHyperlink"/>
    <w:uiPriority w:val="99"/>
    <w:semiHidden/>
    <w:unhideWhenUsed/>
    <w:rsid w:val="008D5AD9"/>
    <w:rPr>
      <w:color w:val="800080"/>
      <w:u w:val="single"/>
    </w:rPr>
  </w:style>
  <w:style w:type="paragraph" w:styleId="Sommario2">
    <w:name w:val="toc 2"/>
    <w:basedOn w:val="Normale"/>
    <w:next w:val="Normale"/>
    <w:autoRedefine/>
    <w:uiPriority w:val="39"/>
    <w:unhideWhenUsed/>
    <w:qFormat/>
    <w:rsid w:val="00F42015"/>
    <w:pPr>
      <w:tabs>
        <w:tab w:val="left" w:pos="8789"/>
      </w:tabs>
      <w:spacing w:after="0" w:line="240" w:lineRule="auto"/>
      <w:ind w:left="426" w:right="566" w:hanging="425"/>
      <w:jc w:val="both"/>
    </w:pPr>
    <w:rPr>
      <w:smallCaps/>
      <w:sz w:val="20"/>
      <w:szCs w:val="20"/>
    </w:rPr>
  </w:style>
  <w:style w:type="paragraph" w:styleId="Sommario3">
    <w:name w:val="toc 3"/>
    <w:basedOn w:val="Normale"/>
    <w:next w:val="Normale"/>
    <w:autoRedefine/>
    <w:uiPriority w:val="39"/>
    <w:unhideWhenUsed/>
    <w:qFormat/>
    <w:rsid w:val="00701007"/>
    <w:pPr>
      <w:tabs>
        <w:tab w:val="left" w:pos="993"/>
        <w:tab w:val="left" w:pos="8789"/>
      </w:tabs>
      <w:spacing w:after="0" w:line="240" w:lineRule="auto"/>
      <w:ind w:left="993" w:right="566" w:hanging="566"/>
      <w:jc w:val="both"/>
    </w:pPr>
    <w:rPr>
      <w:rFonts w:ascii="Times New Roman" w:hAnsi="Times New Roman"/>
      <w:i/>
      <w:iCs/>
      <w:noProof/>
      <w:sz w:val="20"/>
      <w:szCs w:val="20"/>
    </w:rPr>
  </w:style>
  <w:style w:type="paragraph" w:styleId="Sommario4">
    <w:name w:val="toc 4"/>
    <w:basedOn w:val="Normale"/>
    <w:next w:val="Normale"/>
    <w:autoRedefine/>
    <w:uiPriority w:val="39"/>
    <w:unhideWhenUsed/>
    <w:rsid w:val="00721015"/>
    <w:pPr>
      <w:tabs>
        <w:tab w:val="left" w:pos="2268"/>
        <w:tab w:val="left" w:pos="8789"/>
      </w:tabs>
      <w:spacing w:after="0" w:line="240" w:lineRule="auto"/>
      <w:ind w:left="1701" w:right="566" w:hanging="709"/>
      <w:jc w:val="both"/>
    </w:pPr>
    <w:rPr>
      <w:rFonts w:ascii="Times New Roman" w:hAnsi="Times New Roman"/>
      <w:noProof/>
      <w:sz w:val="20"/>
      <w:szCs w:val="20"/>
      <w:lang w:eastAsia="it-IT"/>
    </w:rPr>
  </w:style>
  <w:style w:type="paragraph" w:styleId="Sommario5">
    <w:name w:val="toc 5"/>
    <w:basedOn w:val="Normale"/>
    <w:next w:val="Normale"/>
    <w:autoRedefine/>
    <w:uiPriority w:val="39"/>
    <w:unhideWhenUsed/>
    <w:rsid w:val="0001506B"/>
    <w:pPr>
      <w:tabs>
        <w:tab w:val="left" w:pos="8789"/>
      </w:tabs>
      <w:spacing w:after="0"/>
      <w:ind w:left="1985" w:hanging="283"/>
    </w:pPr>
    <w:rPr>
      <w:sz w:val="18"/>
      <w:szCs w:val="18"/>
    </w:rPr>
  </w:style>
  <w:style w:type="paragraph" w:styleId="Sommario6">
    <w:name w:val="toc 6"/>
    <w:basedOn w:val="Normale"/>
    <w:next w:val="Normale"/>
    <w:autoRedefine/>
    <w:uiPriority w:val="39"/>
    <w:unhideWhenUsed/>
    <w:rsid w:val="003E47CF"/>
    <w:pPr>
      <w:spacing w:after="0"/>
      <w:ind w:left="1100"/>
    </w:pPr>
    <w:rPr>
      <w:sz w:val="18"/>
      <w:szCs w:val="18"/>
    </w:rPr>
  </w:style>
  <w:style w:type="paragraph" w:styleId="Sommario7">
    <w:name w:val="toc 7"/>
    <w:basedOn w:val="Normale"/>
    <w:next w:val="Normale"/>
    <w:autoRedefine/>
    <w:uiPriority w:val="39"/>
    <w:unhideWhenUsed/>
    <w:rsid w:val="003E47CF"/>
    <w:pPr>
      <w:spacing w:after="0"/>
      <w:ind w:left="1320"/>
    </w:pPr>
    <w:rPr>
      <w:sz w:val="18"/>
      <w:szCs w:val="18"/>
    </w:rPr>
  </w:style>
  <w:style w:type="paragraph" w:styleId="Sommario8">
    <w:name w:val="toc 8"/>
    <w:basedOn w:val="Normale"/>
    <w:next w:val="Normale"/>
    <w:autoRedefine/>
    <w:uiPriority w:val="39"/>
    <w:unhideWhenUsed/>
    <w:rsid w:val="003E47CF"/>
    <w:pPr>
      <w:spacing w:after="0"/>
      <w:ind w:left="1540"/>
    </w:pPr>
    <w:rPr>
      <w:sz w:val="18"/>
      <w:szCs w:val="18"/>
    </w:rPr>
  </w:style>
  <w:style w:type="paragraph" w:styleId="Sommario9">
    <w:name w:val="toc 9"/>
    <w:basedOn w:val="Normale"/>
    <w:next w:val="Normale"/>
    <w:autoRedefine/>
    <w:uiPriority w:val="39"/>
    <w:unhideWhenUsed/>
    <w:rsid w:val="003E47CF"/>
    <w:pPr>
      <w:spacing w:after="0"/>
      <w:ind w:left="1760"/>
    </w:pPr>
    <w:rPr>
      <w:sz w:val="18"/>
      <w:szCs w:val="18"/>
    </w:rPr>
  </w:style>
  <w:style w:type="character" w:customStyle="1" w:styleId="riferimento2">
    <w:name w:val="riferimento2"/>
    <w:rsid w:val="00600A2A"/>
    <w:rPr>
      <w:color w:val="4A970B"/>
    </w:rPr>
  </w:style>
  <w:style w:type="character" w:styleId="Enfasigrassetto">
    <w:name w:val="Strong"/>
    <w:uiPriority w:val="22"/>
    <w:qFormat/>
    <w:rsid w:val="00600A2A"/>
    <w:rPr>
      <w:b/>
      <w:bCs/>
    </w:rPr>
  </w:style>
  <w:style w:type="character" w:styleId="Numeroriga">
    <w:name w:val="line number"/>
    <w:basedOn w:val="Carpredefinitoparagrafo"/>
    <w:uiPriority w:val="99"/>
    <w:semiHidden/>
    <w:unhideWhenUsed/>
    <w:rsid w:val="00EE5E39"/>
  </w:style>
  <w:style w:type="paragraph" w:styleId="Paragrafoelenco">
    <w:name w:val="List Paragraph"/>
    <w:basedOn w:val="Normale"/>
    <w:link w:val="ParagrafoelencoCarattere"/>
    <w:qFormat/>
    <w:rsid w:val="00652BBB"/>
    <w:pPr>
      <w:spacing w:after="160" w:line="259" w:lineRule="auto"/>
      <w:ind w:left="720"/>
      <w:contextualSpacing/>
    </w:pPr>
  </w:style>
  <w:style w:type="character" w:customStyle="1" w:styleId="apple-converted-space">
    <w:name w:val="apple-converted-space"/>
    <w:rsid w:val="00512DC7"/>
  </w:style>
  <w:style w:type="paragraph" w:styleId="Revisione">
    <w:name w:val="Revision"/>
    <w:hidden/>
    <w:uiPriority w:val="99"/>
    <w:semiHidden/>
    <w:rsid w:val="00BD546B"/>
    <w:rPr>
      <w:sz w:val="22"/>
      <w:szCs w:val="22"/>
      <w:lang w:eastAsia="en-US"/>
    </w:rPr>
  </w:style>
  <w:style w:type="table" w:customStyle="1" w:styleId="Tabellagriglia1chiara-colore11">
    <w:name w:val="Tabella griglia 1 chiara - colore 11"/>
    <w:basedOn w:val="Tabellanormale"/>
    <w:uiPriority w:val="46"/>
    <w:rsid w:val="006265C6"/>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PreformattatoHTML">
    <w:name w:val="HTML Preformatted"/>
    <w:basedOn w:val="Normale"/>
    <w:link w:val="PreformattatoHTMLCarattere"/>
    <w:uiPriority w:val="99"/>
    <w:unhideWhenUsed/>
    <w:rsid w:val="001673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link w:val="PreformattatoHTML"/>
    <w:uiPriority w:val="99"/>
    <w:rsid w:val="001673BB"/>
    <w:rPr>
      <w:rFonts w:ascii="Courier New" w:eastAsia="Times New Roman" w:hAnsi="Courier New" w:cs="Courier New"/>
    </w:rPr>
  </w:style>
  <w:style w:type="character" w:styleId="Enfasicorsivo">
    <w:name w:val="Emphasis"/>
    <w:uiPriority w:val="20"/>
    <w:qFormat/>
    <w:rsid w:val="001673BB"/>
    <w:rPr>
      <w:i/>
      <w:iCs/>
    </w:rPr>
  </w:style>
  <w:style w:type="character" w:customStyle="1" w:styleId="dentro">
    <w:name w:val="dentro"/>
    <w:rsid w:val="000764F9"/>
  </w:style>
  <w:style w:type="character" w:customStyle="1" w:styleId="rosso1">
    <w:name w:val="rosso1"/>
    <w:rsid w:val="003C7500"/>
    <w:rPr>
      <w:b w:val="0"/>
      <w:bCs w:val="0"/>
      <w:vanish w:val="0"/>
      <w:webHidden w:val="0"/>
      <w:color w:val="990000"/>
      <w:specVanish w:val="0"/>
    </w:rPr>
  </w:style>
  <w:style w:type="character" w:customStyle="1" w:styleId="riferimento1">
    <w:name w:val="riferimento1"/>
    <w:rsid w:val="003C7500"/>
    <w:rPr>
      <w:i/>
      <w:iCs/>
      <w:color w:val="058940"/>
    </w:rPr>
  </w:style>
  <w:style w:type="character" w:customStyle="1" w:styleId="Titolo5Carattere">
    <w:name w:val="Titolo 5 Carattere"/>
    <w:basedOn w:val="Carpredefinitoparagrafo"/>
    <w:link w:val="Titolo5"/>
    <w:uiPriority w:val="9"/>
    <w:semiHidden/>
    <w:rsid w:val="00123937"/>
    <w:rPr>
      <w:rFonts w:asciiTheme="majorHAnsi" w:eastAsiaTheme="majorEastAsia" w:hAnsiTheme="majorHAnsi" w:cstheme="majorBidi"/>
      <w:color w:val="2E74B5" w:themeColor="accent1" w:themeShade="BF"/>
      <w:sz w:val="22"/>
      <w:szCs w:val="22"/>
      <w:lang w:eastAsia="en-US"/>
    </w:rPr>
  </w:style>
  <w:style w:type="paragraph" w:styleId="Testonotadichiusura">
    <w:name w:val="endnote text"/>
    <w:basedOn w:val="Normale"/>
    <w:link w:val="TestonotadichiusuraCarattere"/>
    <w:uiPriority w:val="99"/>
    <w:semiHidden/>
    <w:unhideWhenUsed/>
    <w:rsid w:val="00723C87"/>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723C87"/>
    <w:rPr>
      <w:lang w:eastAsia="en-US"/>
    </w:rPr>
  </w:style>
  <w:style w:type="character" w:styleId="Rimandonotadichiusura">
    <w:name w:val="endnote reference"/>
    <w:basedOn w:val="Carpredefinitoparagrafo"/>
    <w:uiPriority w:val="99"/>
    <w:semiHidden/>
    <w:unhideWhenUsed/>
    <w:rsid w:val="00723C87"/>
    <w:rPr>
      <w:vertAlign w:val="superscript"/>
    </w:rPr>
  </w:style>
  <w:style w:type="character" w:customStyle="1" w:styleId="ParagrafoelencoCarattere">
    <w:name w:val="Paragrafo elenco Carattere"/>
    <w:link w:val="Paragrafoelenco"/>
    <w:uiPriority w:val="34"/>
    <w:rsid w:val="00C96AFA"/>
    <w:rPr>
      <w:sz w:val="22"/>
      <w:szCs w:val="22"/>
      <w:lang w:eastAsia="en-US"/>
    </w:rPr>
  </w:style>
  <w:style w:type="paragraph" w:styleId="Elencocontinua2">
    <w:name w:val="List Continue 2"/>
    <w:basedOn w:val="Normale"/>
    <w:uiPriority w:val="99"/>
    <w:semiHidden/>
    <w:unhideWhenUsed/>
    <w:rsid w:val="00BC53FA"/>
    <w:pPr>
      <w:spacing w:after="120"/>
      <w:ind w:left="566"/>
      <w:contextualSpacing/>
    </w:pPr>
  </w:style>
  <w:style w:type="paragraph" w:styleId="Corpodeltesto2">
    <w:name w:val="Body Text 2"/>
    <w:basedOn w:val="Normale"/>
    <w:link w:val="Corpodeltesto2Carattere"/>
    <w:rsid w:val="00135A41"/>
    <w:pPr>
      <w:spacing w:before="120" w:after="120" w:line="240" w:lineRule="auto"/>
      <w:ind w:right="566"/>
      <w:jc w:val="both"/>
    </w:pPr>
    <w:rPr>
      <w:rFonts w:ascii="Arial" w:eastAsia="Times New Roman" w:hAnsi="Arial" w:cs="Arial"/>
      <w:lang w:eastAsia="it-IT"/>
    </w:rPr>
  </w:style>
  <w:style w:type="character" w:customStyle="1" w:styleId="Corpodeltesto2Carattere">
    <w:name w:val="Corpo del testo 2 Carattere"/>
    <w:basedOn w:val="Carpredefinitoparagrafo"/>
    <w:link w:val="Corpodeltesto2"/>
    <w:rsid w:val="00135A41"/>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0644">
      <w:bodyDiv w:val="1"/>
      <w:marLeft w:val="0"/>
      <w:marRight w:val="0"/>
      <w:marTop w:val="0"/>
      <w:marBottom w:val="0"/>
      <w:divBdr>
        <w:top w:val="none" w:sz="0" w:space="0" w:color="auto"/>
        <w:left w:val="none" w:sz="0" w:space="0" w:color="auto"/>
        <w:bottom w:val="none" w:sz="0" w:space="0" w:color="auto"/>
        <w:right w:val="none" w:sz="0" w:space="0" w:color="auto"/>
      </w:divBdr>
    </w:div>
    <w:div w:id="7679208">
      <w:bodyDiv w:val="1"/>
      <w:marLeft w:val="0"/>
      <w:marRight w:val="0"/>
      <w:marTop w:val="0"/>
      <w:marBottom w:val="0"/>
      <w:divBdr>
        <w:top w:val="none" w:sz="0" w:space="0" w:color="auto"/>
        <w:left w:val="none" w:sz="0" w:space="0" w:color="auto"/>
        <w:bottom w:val="none" w:sz="0" w:space="0" w:color="auto"/>
        <w:right w:val="none" w:sz="0" w:space="0" w:color="auto"/>
      </w:divBdr>
    </w:div>
    <w:div w:id="11498387">
      <w:bodyDiv w:val="1"/>
      <w:marLeft w:val="0"/>
      <w:marRight w:val="0"/>
      <w:marTop w:val="0"/>
      <w:marBottom w:val="0"/>
      <w:divBdr>
        <w:top w:val="none" w:sz="0" w:space="0" w:color="auto"/>
        <w:left w:val="none" w:sz="0" w:space="0" w:color="auto"/>
        <w:bottom w:val="none" w:sz="0" w:space="0" w:color="auto"/>
        <w:right w:val="none" w:sz="0" w:space="0" w:color="auto"/>
      </w:divBdr>
    </w:div>
    <w:div w:id="11884396">
      <w:bodyDiv w:val="1"/>
      <w:marLeft w:val="0"/>
      <w:marRight w:val="0"/>
      <w:marTop w:val="0"/>
      <w:marBottom w:val="0"/>
      <w:divBdr>
        <w:top w:val="none" w:sz="0" w:space="0" w:color="auto"/>
        <w:left w:val="none" w:sz="0" w:space="0" w:color="auto"/>
        <w:bottom w:val="none" w:sz="0" w:space="0" w:color="auto"/>
        <w:right w:val="none" w:sz="0" w:space="0" w:color="auto"/>
      </w:divBdr>
    </w:div>
    <w:div w:id="13726361">
      <w:bodyDiv w:val="1"/>
      <w:marLeft w:val="0"/>
      <w:marRight w:val="0"/>
      <w:marTop w:val="0"/>
      <w:marBottom w:val="0"/>
      <w:divBdr>
        <w:top w:val="none" w:sz="0" w:space="0" w:color="auto"/>
        <w:left w:val="none" w:sz="0" w:space="0" w:color="auto"/>
        <w:bottom w:val="none" w:sz="0" w:space="0" w:color="auto"/>
        <w:right w:val="none" w:sz="0" w:space="0" w:color="auto"/>
      </w:divBdr>
    </w:div>
    <w:div w:id="21437889">
      <w:bodyDiv w:val="1"/>
      <w:marLeft w:val="0"/>
      <w:marRight w:val="0"/>
      <w:marTop w:val="0"/>
      <w:marBottom w:val="0"/>
      <w:divBdr>
        <w:top w:val="none" w:sz="0" w:space="0" w:color="auto"/>
        <w:left w:val="none" w:sz="0" w:space="0" w:color="auto"/>
        <w:bottom w:val="none" w:sz="0" w:space="0" w:color="auto"/>
        <w:right w:val="none" w:sz="0" w:space="0" w:color="auto"/>
      </w:divBdr>
    </w:div>
    <w:div w:id="24453378">
      <w:bodyDiv w:val="1"/>
      <w:marLeft w:val="0"/>
      <w:marRight w:val="0"/>
      <w:marTop w:val="0"/>
      <w:marBottom w:val="0"/>
      <w:divBdr>
        <w:top w:val="none" w:sz="0" w:space="0" w:color="auto"/>
        <w:left w:val="none" w:sz="0" w:space="0" w:color="auto"/>
        <w:bottom w:val="none" w:sz="0" w:space="0" w:color="auto"/>
        <w:right w:val="none" w:sz="0" w:space="0" w:color="auto"/>
      </w:divBdr>
      <w:divsChild>
        <w:div w:id="5253581">
          <w:marLeft w:val="0"/>
          <w:marRight w:val="0"/>
          <w:marTop w:val="0"/>
          <w:marBottom w:val="0"/>
          <w:divBdr>
            <w:top w:val="none" w:sz="0" w:space="0" w:color="auto"/>
            <w:left w:val="none" w:sz="0" w:space="0" w:color="auto"/>
            <w:bottom w:val="none" w:sz="0" w:space="0" w:color="auto"/>
            <w:right w:val="none" w:sz="0" w:space="0" w:color="auto"/>
          </w:divBdr>
        </w:div>
        <w:div w:id="458767274">
          <w:marLeft w:val="0"/>
          <w:marRight w:val="0"/>
          <w:marTop w:val="0"/>
          <w:marBottom w:val="0"/>
          <w:divBdr>
            <w:top w:val="none" w:sz="0" w:space="0" w:color="auto"/>
            <w:left w:val="none" w:sz="0" w:space="0" w:color="auto"/>
            <w:bottom w:val="none" w:sz="0" w:space="0" w:color="auto"/>
            <w:right w:val="none" w:sz="0" w:space="0" w:color="auto"/>
          </w:divBdr>
        </w:div>
        <w:div w:id="744301253">
          <w:marLeft w:val="0"/>
          <w:marRight w:val="0"/>
          <w:marTop w:val="0"/>
          <w:marBottom w:val="0"/>
          <w:divBdr>
            <w:top w:val="none" w:sz="0" w:space="0" w:color="auto"/>
            <w:left w:val="none" w:sz="0" w:space="0" w:color="auto"/>
            <w:bottom w:val="none" w:sz="0" w:space="0" w:color="auto"/>
            <w:right w:val="none" w:sz="0" w:space="0" w:color="auto"/>
          </w:divBdr>
        </w:div>
        <w:div w:id="914163080">
          <w:marLeft w:val="0"/>
          <w:marRight w:val="0"/>
          <w:marTop w:val="0"/>
          <w:marBottom w:val="0"/>
          <w:divBdr>
            <w:top w:val="none" w:sz="0" w:space="0" w:color="auto"/>
            <w:left w:val="none" w:sz="0" w:space="0" w:color="auto"/>
            <w:bottom w:val="none" w:sz="0" w:space="0" w:color="auto"/>
            <w:right w:val="none" w:sz="0" w:space="0" w:color="auto"/>
          </w:divBdr>
        </w:div>
        <w:div w:id="992029329">
          <w:marLeft w:val="0"/>
          <w:marRight w:val="0"/>
          <w:marTop w:val="0"/>
          <w:marBottom w:val="0"/>
          <w:divBdr>
            <w:top w:val="none" w:sz="0" w:space="0" w:color="auto"/>
            <w:left w:val="none" w:sz="0" w:space="0" w:color="auto"/>
            <w:bottom w:val="none" w:sz="0" w:space="0" w:color="auto"/>
            <w:right w:val="none" w:sz="0" w:space="0" w:color="auto"/>
          </w:divBdr>
        </w:div>
        <w:div w:id="1693996866">
          <w:marLeft w:val="0"/>
          <w:marRight w:val="0"/>
          <w:marTop w:val="0"/>
          <w:marBottom w:val="0"/>
          <w:divBdr>
            <w:top w:val="none" w:sz="0" w:space="0" w:color="auto"/>
            <w:left w:val="none" w:sz="0" w:space="0" w:color="auto"/>
            <w:bottom w:val="none" w:sz="0" w:space="0" w:color="auto"/>
            <w:right w:val="none" w:sz="0" w:space="0" w:color="auto"/>
          </w:divBdr>
        </w:div>
        <w:div w:id="1960185365">
          <w:marLeft w:val="0"/>
          <w:marRight w:val="0"/>
          <w:marTop w:val="0"/>
          <w:marBottom w:val="0"/>
          <w:divBdr>
            <w:top w:val="none" w:sz="0" w:space="0" w:color="auto"/>
            <w:left w:val="none" w:sz="0" w:space="0" w:color="auto"/>
            <w:bottom w:val="none" w:sz="0" w:space="0" w:color="auto"/>
            <w:right w:val="none" w:sz="0" w:space="0" w:color="auto"/>
          </w:divBdr>
        </w:div>
      </w:divsChild>
    </w:div>
    <w:div w:id="66542880">
      <w:bodyDiv w:val="1"/>
      <w:marLeft w:val="0"/>
      <w:marRight w:val="0"/>
      <w:marTop w:val="0"/>
      <w:marBottom w:val="0"/>
      <w:divBdr>
        <w:top w:val="none" w:sz="0" w:space="0" w:color="auto"/>
        <w:left w:val="none" w:sz="0" w:space="0" w:color="auto"/>
        <w:bottom w:val="none" w:sz="0" w:space="0" w:color="auto"/>
        <w:right w:val="none" w:sz="0" w:space="0" w:color="auto"/>
      </w:divBdr>
      <w:divsChild>
        <w:div w:id="977567062">
          <w:marLeft w:val="0"/>
          <w:marRight w:val="0"/>
          <w:marTop w:val="0"/>
          <w:marBottom w:val="0"/>
          <w:divBdr>
            <w:top w:val="none" w:sz="0" w:space="0" w:color="auto"/>
            <w:left w:val="none" w:sz="0" w:space="0" w:color="auto"/>
            <w:bottom w:val="none" w:sz="0" w:space="0" w:color="auto"/>
            <w:right w:val="none" w:sz="0" w:space="0" w:color="auto"/>
          </w:divBdr>
          <w:divsChild>
            <w:div w:id="1140415873">
              <w:marLeft w:val="0"/>
              <w:marRight w:val="0"/>
              <w:marTop w:val="0"/>
              <w:marBottom w:val="0"/>
              <w:divBdr>
                <w:top w:val="none" w:sz="0" w:space="0" w:color="auto"/>
                <w:left w:val="none" w:sz="0" w:space="0" w:color="auto"/>
                <w:bottom w:val="none" w:sz="0" w:space="0" w:color="auto"/>
                <w:right w:val="none" w:sz="0" w:space="0" w:color="auto"/>
              </w:divBdr>
              <w:divsChild>
                <w:div w:id="1190799608">
                  <w:marLeft w:val="0"/>
                  <w:marRight w:val="0"/>
                  <w:marTop w:val="0"/>
                  <w:marBottom w:val="0"/>
                  <w:divBdr>
                    <w:top w:val="none" w:sz="0" w:space="0" w:color="auto"/>
                    <w:left w:val="none" w:sz="0" w:space="0" w:color="auto"/>
                    <w:bottom w:val="none" w:sz="0" w:space="0" w:color="auto"/>
                    <w:right w:val="none" w:sz="0" w:space="0" w:color="auto"/>
                  </w:divBdr>
                  <w:divsChild>
                    <w:div w:id="1646469578">
                      <w:marLeft w:val="0"/>
                      <w:marRight w:val="0"/>
                      <w:marTop w:val="0"/>
                      <w:marBottom w:val="0"/>
                      <w:divBdr>
                        <w:top w:val="none" w:sz="0" w:space="0" w:color="auto"/>
                        <w:left w:val="none" w:sz="0" w:space="0" w:color="auto"/>
                        <w:bottom w:val="none" w:sz="0" w:space="0" w:color="auto"/>
                        <w:right w:val="none" w:sz="0" w:space="0" w:color="auto"/>
                      </w:divBdr>
                      <w:divsChild>
                        <w:div w:id="491987616">
                          <w:marLeft w:val="0"/>
                          <w:marRight w:val="0"/>
                          <w:marTop w:val="0"/>
                          <w:marBottom w:val="0"/>
                          <w:divBdr>
                            <w:top w:val="none" w:sz="0" w:space="0" w:color="auto"/>
                            <w:left w:val="none" w:sz="0" w:space="0" w:color="auto"/>
                            <w:bottom w:val="none" w:sz="0" w:space="0" w:color="auto"/>
                            <w:right w:val="none" w:sz="0" w:space="0" w:color="auto"/>
                          </w:divBdr>
                          <w:divsChild>
                            <w:div w:id="910695730">
                              <w:marLeft w:val="0"/>
                              <w:marRight w:val="0"/>
                              <w:marTop w:val="0"/>
                              <w:marBottom w:val="0"/>
                              <w:divBdr>
                                <w:top w:val="none" w:sz="0" w:space="0" w:color="auto"/>
                                <w:left w:val="none" w:sz="0" w:space="0" w:color="auto"/>
                                <w:bottom w:val="none" w:sz="0" w:space="0" w:color="auto"/>
                                <w:right w:val="none" w:sz="0" w:space="0" w:color="auto"/>
                              </w:divBdr>
                              <w:divsChild>
                                <w:div w:id="492962260">
                                  <w:marLeft w:val="0"/>
                                  <w:marRight w:val="0"/>
                                  <w:marTop w:val="0"/>
                                  <w:marBottom w:val="0"/>
                                  <w:divBdr>
                                    <w:top w:val="none" w:sz="0" w:space="0" w:color="auto"/>
                                    <w:left w:val="none" w:sz="0" w:space="0" w:color="auto"/>
                                    <w:bottom w:val="none" w:sz="0" w:space="0" w:color="auto"/>
                                    <w:right w:val="none" w:sz="0" w:space="0" w:color="auto"/>
                                  </w:divBdr>
                                  <w:divsChild>
                                    <w:div w:id="1766881706">
                                      <w:marLeft w:val="0"/>
                                      <w:marRight w:val="0"/>
                                      <w:marTop w:val="0"/>
                                      <w:marBottom w:val="0"/>
                                      <w:divBdr>
                                        <w:top w:val="none" w:sz="0" w:space="0" w:color="auto"/>
                                        <w:left w:val="none" w:sz="0" w:space="0" w:color="auto"/>
                                        <w:bottom w:val="none" w:sz="0" w:space="0" w:color="auto"/>
                                        <w:right w:val="none" w:sz="0" w:space="0" w:color="auto"/>
                                      </w:divBdr>
                                      <w:divsChild>
                                        <w:div w:id="2091921200">
                                          <w:marLeft w:val="0"/>
                                          <w:marRight w:val="0"/>
                                          <w:marTop w:val="0"/>
                                          <w:marBottom w:val="0"/>
                                          <w:divBdr>
                                            <w:top w:val="none" w:sz="0" w:space="0" w:color="auto"/>
                                            <w:left w:val="none" w:sz="0" w:space="0" w:color="auto"/>
                                            <w:bottom w:val="none" w:sz="0" w:space="0" w:color="auto"/>
                                            <w:right w:val="none" w:sz="0" w:space="0" w:color="auto"/>
                                          </w:divBdr>
                                          <w:divsChild>
                                            <w:div w:id="475995024">
                                              <w:marLeft w:val="0"/>
                                              <w:marRight w:val="0"/>
                                              <w:marTop w:val="0"/>
                                              <w:marBottom w:val="0"/>
                                              <w:divBdr>
                                                <w:top w:val="none" w:sz="0" w:space="0" w:color="auto"/>
                                                <w:left w:val="none" w:sz="0" w:space="0" w:color="auto"/>
                                                <w:bottom w:val="none" w:sz="0" w:space="0" w:color="auto"/>
                                                <w:right w:val="none" w:sz="0" w:space="0" w:color="auto"/>
                                              </w:divBdr>
                                              <w:divsChild>
                                                <w:div w:id="1154567621">
                                                  <w:marLeft w:val="0"/>
                                                  <w:marRight w:val="0"/>
                                                  <w:marTop w:val="0"/>
                                                  <w:marBottom w:val="0"/>
                                                  <w:divBdr>
                                                    <w:top w:val="none" w:sz="0" w:space="0" w:color="auto"/>
                                                    <w:left w:val="none" w:sz="0" w:space="0" w:color="auto"/>
                                                    <w:bottom w:val="none" w:sz="0" w:space="0" w:color="auto"/>
                                                    <w:right w:val="none" w:sz="0" w:space="0" w:color="auto"/>
                                                  </w:divBdr>
                                                  <w:divsChild>
                                                    <w:div w:id="966080397">
                                                      <w:marLeft w:val="0"/>
                                                      <w:marRight w:val="0"/>
                                                      <w:marTop w:val="0"/>
                                                      <w:marBottom w:val="0"/>
                                                      <w:divBdr>
                                                        <w:top w:val="none" w:sz="0" w:space="0" w:color="auto"/>
                                                        <w:left w:val="none" w:sz="0" w:space="0" w:color="auto"/>
                                                        <w:bottom w:val="none" w:sz="0" w:space="0" w:color="auto"/>
                                                        <w:right w:val="none" w:sz="0" w:space="0" w:color="auto"/>
                                                      </w:divBdr>
                                                      <w:divsChild>
                                                        <w:div w:id="1712536098">
                                                          <w:marLeft w:val="0"/>
                                                          <w:marRight w:val="0"/>
                                                          <w:marTop w:val="0"/>
                                                          <w:marBottom w:val="0"/>
                                                          <w:divBdr>
                                                            <w:top w:val="none" w:sz="0" w:space="0" w:color="auto"/>
                                                            <w:left w:val="none" w:sz="0" w:space="0" w:color="auto"/>
                                                            <w:bottom w:val="none" w:sz="0" w:space="0" w:color="auto"/>
                                                            <w:right w:val="none" w:sz="0" w:space="0" w:color="auto"/>
                                                          </w:divBdr>
                                                          <w:divsChild>
                                                            <w:div w:id="1167281627">
                                                              <w:marLeft w:val="0"/>
                                                              <w:marRight w:val="0"/>
                                                              <w:marTop w:val="0"/>
                                                              <w:marBottom w:val="0"/>
                                                              <w:divBdr>
                                                                <w:top w:val="none" w:sz="0" w:space="0" w:color="auto"/>
                                                                <w:left w:val="none" w:sz="0" w:space="0" w:color="auto"/>
                                                                <w:bottom w:val="none" w:sz="0" w:space="0" w:color="auto"/>
                                                                <w:right w:val="none" w:sz="0" w:space="0" w:color="auto"/>
                                                              </w:divBdr>
                                                              <w:divsChild>
                                                                <w:div w:id="1844854366">
                                                                  <w:marLeft w:val="0"/>
                                                                  <w:marRight w:val="0"/>
                                                                  <w:marTop w:val="0"/>
                                                                  <w:marBottom w:val="0"/>
                                                                  <w:divBdr>
                                                                    <w:top w:val="none" w:sz="0" w:space="0" w:color="auto"/>
                                                                    <w:left w:val="none" w:sz="0" w:space="0" w:color="auto"/>
                                                                    <w:bottom w:val="none" w:sz="0" w:space="0" w:color="auto"/>
                                                                    <w:right w:val="none" w:sz="0" w:space="0" w:color="auto"/>
                                                                  </w:divBdr>
                                                                  <w:divsChild>
                                                                    <w:div w:id="1008021900">
                                                                      <w:marLeft w:val="0"/>
                                                                      <w:marRight w:val="0"/>
                                                                      <w:marTop w:val="0"/>
                                                                      <w:marBottom w:val="0"/>
                                                                      <w:divBdr>
                                                                        <w:top w:val="none" w:sz="0" w:space="0" w:color="auto"/>
                                                                        <w:left w:val="none" w:sz="0" w:space="0" w:color="auto"/>
                                                                        <w:bottom w:val="none" w:sz="0" w:space="0" w:color="auto"/>
                                                                        <w:right w:val="none" w:sz="0" w:space="0" w:color="auto"/>
                                                                      </w:divBdr>
                                                                      <w:divsChild>
                                                                        <w:div w:id="1091972581">
                                                                          <w:marLeft w:val="0"/>
                                                                          <w:marRight w:val="0"/>
                                                                          <w:marTop w:val="0"/>
                                                                          <w:marBottom w:val="0"/>
                                                                          <w:divBdr>
                                                                            <w:top w:val="none" w:sz="0" w:space="0" w:color="auto"/>
                                                                            <w:left w:val="none" w:sz="0" w:space="0" w:color="auto"/>
                                                                            <w:bottom w:val="none" w:sz="0" w:space="0" w:color="auto"/>
                                                                            <w:right w:val="none" w:sz="0" w:space="0" w:color="auto"/>
                                                                          </w:divBdr>
                                                                          <w:divsChild>
                                                                            <w:div w:id="1291858335">
                                                                              <w:marLeft w:val="0"/>
                                                                              <w:marRight w:val="0"/>
                                                                              <w:marTop w:val="0"/>
                                                                              <w:marBottom w:val="0"/>
                                                                              <w:divBdr>
                                                                                <w:top w:val="none" w:sz="0" w:space="0" w:color="auto"/>
                                                                                <w:left w:val="none" w:sz="0" w:space="0" w:color="auto"/>
                                                                                <w:bottom w:val="none" w:sz="0" w:space="0" w:color="auto"/>
                                                                                <w:right w:val="none" w:sz="0" w:space="0" w:color="auto"/>
                                                                              </w:divBdr>
                                                                              <w:divsChild>
                                                                                <w:div w:id="140544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808621">
      <w:bodyDiv w:val="1"/>
      <w:marLeft w:val="0"/>
      <w:marRight w:val="0"/>
      <w:marTop w:val="0"/>
      <w:marBottom w:val="0"/>
      <w:divBdr>
        <w:top w:val="none" w:sz="0" w:space="0" w:color="auto"/>
        <w:left w:val="none" w:sz="0" w:space="0" w:color="auto"/>
        <w:bottom w:val="none" w:sz="0" w:space="0" w:color="auto"/>
        <w:right w:val="none" w:sz="0" w:space="0" w:color="auto"/>
      </w:divBdr>
    </w:div>
    <w:div w:id="67576919">
      <w:bodyDiv w:val="1"/>
      <w:marLeft w:val="0"/>
      <w:marRight w:val="0"/>
      <w:marTop w:val="0"/>
      <w:marBottom w:val="0"/>
      <w:divBdr>
        <w:top w:val="none" w:sz="0" w:space="0" w:color="auto"/>
        <w:left w:val="none" w:sz="0" w:space="0" w:color="auto"/>
        <w:bottom w:val="none" w:sz="0" w:space="0" w:color="auto"/>
        <w:right w:val="none" w:sz="0" w:space="0" w:color="auto"/>
      </w:divBdr>
    </w:div>
    <w:div w:id="69229724">
      <w:bodyDiv w:val="1"/>
      <w:marLeft w:val="0"/>
      <w:marRight w:val="0"/>
      <w:marTop w:val="0"/>
      <w:marBottom w:val="0"/>
      <w:divBdr>
        <w:top w:val="none" w:sz="0" w:space="0" w:color="auto"/>
        <w:left w:val="none" w:sz="0" w:space="0" w:color="auto"/>
        <w:bottom w:val="none" w:sz="0" w:space="0" w:color="auto"/>
        <w:right w:val="none" w:sz="0" w:space="0" w:color="auto"/>
      </w:divBdr>
    </w:div>
    <w:div w:id="94792040">
      <w:bodyDiv w:val="1"/>
      <w:marLeft w:val="0"/>
      <w:marRight w:val="0"/>
      <w:marTop w:val="0"/>
      <w:marBottom w:val="0"/>
      <w:divBdr>
        <w:top w:val="none" w:sz="0" w:space="0" w:color="auto"/>
        <w:left w:val="none" w:sz="0" w:space="0" w:color="auto"/>
        <w:bottom w:val="none" w:sz="0" w:space="0" w:color="auto"/>
        <w:right w:val="none" w:sz="0" w:space="0" w:color="auto"/>
      </w:divBdr>
    </w:div>
    <w:div w:id="114714502">
      <w:bodyDiv w:val="1"/>
      <w:marLeft w:val="0"/>
      <w:marRight w:val="0"/>
      <w:marTop w:val="0"/>
      <w:marBottom w:val="0"/>
      <w:divBdr>
        <w:top w:val="none" w:sz="0" w:space="0" w:color="auto"/>
        <w:left w:val="none" w:sz="0" w:space="0" w:color="auto"/>
        <w:bottom w:val="none" w:sz="0" w:space="0" w:color="auto"/>
        <w:right w:val="none" w:sz="0" w:space="0" w:color="auto"/>
      </w:divBdr>
    </w:div>
    <w:div w:id="128206636">
      <w:bodyDiv w:val="1"/>
      <w:marLeft w:val="0"/>
      <w:marRight w:val="0"/>
      <w:marTop w:val="0"/>
      <w:marBottom w:val="0"/>
      <w:divBdr>
        <w:top w:val="none" w:sz="0" w:space="0" w:color="auto"/>
        <w:left w:val="none" w:sz="0" w:space="0" w:color="auto"/>
        <w:bottom w:val="none" w:sz="0" w:space="0" w:color="auto"/>
        <w:right w:val="none" w:sz="0" w:space="0" w:color="auto"/>
      </w:divBdr>
    </w:div>
    <w:div w:id="148719873">
      <w:bodyDiv w:val="1"/>
      <w:marLeft w:val="0"/>
      <w:marRight w:val="0"/>
      <w:marTop w:val="0"/>
      <w:marBottom w:val="0"/>
      <w:divBdr>
        <w:top w:val="none" w:sz="0" w:space="0" w:color="auto"/>
        <w:left w:val="none" w:sz="0" w:space="0" w:color="auto"/>
        <w:bottom w:val="none" w:sz="0" w:space="0" w:color="auto"/>
        <w:right w:val="none" w:sz="0" w:space="0" w:color="auto"/>
      </w:divBdr>
    </w:div>
    <w:div w:id="163055907">
      <w:bodyDiv w:val="1"/>
      <w:marLeft w:val="0"/>
      <w:marRight w:val="0"/>
      <w:marTop w:val="0"/>
      <w:marBottom w:val="0"/>
      <w:divBdr>
        <w:top w:val="none" w:sz="0" w:space="0" w:color="auto"/>
        <w:left w:val="none" w:sz="0" w:space="0" w:color="auto"/>
        <w:bottom w:val="none" w:sz="0" w:space="0" w:color="auto"/>
        <w:right w:val="none" w:sz="0" w:space="0" w:color="auto"/>
      </w:divBdr>
    </w:div>
    <w:div w:id="165286849">
      <w:bodyDiv w:val="1"/>
      <w:marLeft w:val="0"/>
      <w:marRight w:val="0"/>
      <w:marTop w:val="0"/>
      <w:marBottom w:val="0"/>
      <w:divBdr>
        <w:top w:val="none" w:sz="0" w:space="0" w:color="auto"/>
        <w:left w:val="none" w:sz="0" w:space="0" w:color="auto"/>
        <w:bottom w:val="none" w:sz="0" w:space="0" w:color="auto"/>
        <w:right w:val="none" w:sz="0" w:space="0" w:color="auto"/>
      </w:divBdr>
    </w:div>
    <w:div w:id="193424651">
      <w:bodyDiv w:val="1"/>
      <w:marLeft w:val="0"/>
      <w:marRight w:val="0"/>
      <w:marTop w:val="0"/>
      <w:marBottom w:val="0"/>
      <w:divBdr>
        <w:top w:val="none" w:sz="0" w:space="0" w:color="auto"/>
        <w:left w:val="none" w:sz="0" w:space="0" w:color="auto"/>
        <w:bottom w:val="none" w:sz="0" w:space="0" w:color="auto"/>
        <w:right w:val="none" w:sz="0" w:space="0" w:color="auto"/>
      </w:divBdr>
    </w:div>
    <w:div w:id="220604945">
      <w:bodyDiv w:val="1"/>
      <w:marLeft w:val="0"/>
      <w:marRight w:val="0"/>
      <w:marTop w:val="0"/>
      <w:marBottom w:val="0"/>
      <w:divBdr>
        <w:top w:val="none" w:sz="0" w:space="0" w:color="auto"/>
        <w:left w:val="none" w:sz="0" w:space="0" w:color="auto"/>
        <w:bottom w:val="none" w:sz="0" w:space="0" w:color="auto"/>
        <w:right w:val="none" w:sz="0" w:space="0" w:color="auto"/>
      </w:divBdr>
    </w:div>
    <w:div w:id="225266533">
      <w:bodyDiv w:val="1"/>
      <w:marLeft w:val="0"/>
      <w:marRight w:val="0"/>
      <w:marTop w:val="0"/>
      <w:marBottom w:val="0"/>
      <w:divBdr>
        <w:top w:val="none" w:sz="0" w:space="0" w:color="auto"/>
        <w:left w:val="none" w:sz="0" w:space="0" w:color="auto"/>
        <w:bottom w:val="none" w:sz="0" w:space="0" w:color="auto"/>
        <w:right w:val="none" w:sz="0" w:space="0" w:color="auto"/>
      </w:divBdr>
    </w:div>
    <w:div w:id="229846623">
      <w:bodyDiv w:val="1"/>
      <w:marLeft w:val="0"/>
      <w:marRight w:val="0"/>
      <w:marTop w:val="0"/>
      <w:marBottom w:val="0"/>
      <w:divBdr>
        <w:top w:val="none" w:sz="0" w:space="0" w:color="auto"/>
        <w:left w:val="none" w:sz="0" w:space="0" w:color="auto"/>
        <w:bottom w:val="none" w:sz="0" w:space="0" w:color="auto"/>
        <w:right w:val="none" w:sz="0" w:space="0" w:color="auto"/>
      </w:divBdr>
    </w:div>
    <w:div w:id="231235636">
      <w:bodyDiv w:val="1"/>
      <w:marLeft w:val="0"/>
      <w:marRight w:val="0"/>
      <w:marTop w:val="0"/>
      <w:marBottom w:val="0"/>
      <w:divBdr>
        <w:top w:val="none" w:sz="0" w:space="0" w:color="auto"/>
        <w:left w:val="none" w:sz="0" w:space="0" w:color="auto"/>
        <w:bottom w:val="none" w:sz="0" w:space="0" w:color="auto"/>
        <w:right w:val="none" w:sz="0" w:space="0" w:color="auto"/>
      </w:divBdr>
    </w:div>
    <w:div w:id="271787068">
      <w:bodyDiv w:val="1"/>
      <w:marLeft w:val="0"/>
      <w:marRight w:val="0"/>
      <w:marTop w:val="0"/>
      <w:marBottom w:val="0"/>
      <w:divBdr>
        <w:top w:val="none" w:sz="0" w:space="0" w:color="auto"/>
        <w:left w:val="none" w:sz="0" w:space="0" w:color="auto"/>
        <w:bottom w:val="none" w:sz="0" w:space="0" w:color="auto"/>
        <w:right w:val="none" w:sz="0" w:space="0" w:color="auto"/>
      </w:divBdr>
    </w:div>
    <w:div w:id="272253882">
      <w:bodyDiv w:val="1"/>
      <w:marLeft w:val="0"/>
      <w:marRight w:val="0"/>
      <w:marTop w:val="0"/>
      <w:marBottom w:val="0"/>
      <w:divBdr>
        <w:top w:val="none" w:sz="0" w:space="0" w:color="auto"/>
        <w:left w:val="none" w:sz="0" w:space="0" w:color="auto"/>
        <w:bottom w:val="none" w:sz="0" w:space="0" w:color="auto"/>
        <w:right w:val="none" w:sz="0" w:space="0" w:color="auto"/>
      </w:divBdr>
    </w:div>
    <w:div w:id="292754376">
      <w:bodyDiv w:val="1"/>
      <w:marLeft w:val="0"/>
      <w:marRight w:val="0"/>
      <w:marTop w:val="0"/>
      <w:marBottom w:val="0"/>
      <w:divBdr>
        <w:top w:val="none" w:sz="0" w:space="0" w:color="auto"/>
        <w:left w:val="none" w:sz="0" w:space="0" w:color="auto"/>
        <w:bottom w:val="none" w:sz="0" w:space="0" w:color="auto"/>
        <w:right w:val="none" w:sz="0" w:space="0" w:color="auto"/>
      </w:divBdr>
    </w:div>
    <w:div w:id="298728958">
      <w:bodyDiv w:val="1"/>
      <w:marLeft w:val="0"/>
      <w:marRight w:val="0"/>
      <w:marTop w:val="0"/>
      <w:marBottom w:val="0"/>
      <w:divBdr>
        <w:top w:val="none" w:sz="0" w:space="0" w:color="auto"/>
        <w:left w:val="none" w:sz="0" w:space="0" w:color="auto"/>
        <w:bottom w:val="none" w:sz="0" w:space="0" w:color="auto"/>
        <w:right w:val="none" w:sz="0" w:space="0" w:color="auto"/>
      </w:divBdr>
    </w:div>
    <w:div w:id="299657237">
      <w:bodyDiv w:val="1"/>
      <w:marLeft w:val="0"/>
      <w:marRight w:val="0"/>
      <w:marTop w:val="0"/>
      <w:marBottom w:val="0"/>
      <w:divBdr>
        <w:top w:val="none" w:sz="0" w:space="0" w:color="auto"/>
        <w:left w:val="none" w:sz="0" w:space="0" w:color="auto"/>
        <w:bottom w:val="none" w:sz="0" w:space="0" w:color="auto"/>
        <w:right w:val="none" w:sz="0" w:space="0" w:color="auto"/>
      </w:divBdr>
    </w:div>
    <w:div w:id="307903868">
      <w:bodyDiv w:val="1"/>
      <w:marLeft w:val="0"/>
      <w:marRight w:val="0"/>
      <w:marTop w:val="0"/>
      <w:marBottom w:val="0"/>
      <w:divBdr>
        <w:top w:val="none" w:sz="0" w:space="0" w:color="auto"/>
        <w:left w:val="none" w:sz="0" w:space="0" w:color="auto"/>
        <w:bottom w:val="none" w:sz="0" w:space="0" w:color="auto"/>
        <w:right w:val="none" w:sz="0" w:space="0" w:color="auto"/>
      </w:divBdr>
    </w:div>
    <w:div w:id="327292951">
      <w:bodyDiv w:val="1"/>
      <w:marLeft w:val="0"/>
      <w:marRight w:val="0"/>
      <w:marTop w:val="0"/>
      <w:marBottom w:val="0"/>
      <w:divBdr>
        <w:top w:val="none" w:sz="0" w:space="0" w:color="auto"/>
        <w:left w:val="none" w:sz="0" w:space="0" w:color="auto"/>
        <w:bottom w:val="none" w:sz="0" w:space="0" w:color="auto"/>
        <w:right w:val="none" w:sz="0" w:space="0" w:color="auto"/>
      </w:divBdr>
    </w:div>
    <w:div w:id="348526615">
      <w:bodyDiv w:val="1"/>
      <w:marLeft w:val="0"/>
      <w:marRight w:val="0"/>
      <w:marTop w:val="0"/>
      <w:marBottom w:val="0"/>
      <w:divBdr>
        <w:top w:val="none" w:sz="0" w:space="0" w:color="auto"/>
        <w:left w:val="none" w:sz="0" w:space="0" w:color="auto"/>
        <w:bottom w:val="none" w:sz="0" w:space="0" w:color="auto"/>
        <w:right w:val="none" w:sz="0" w:space="0" w:color="auto"/>
      </w:divBdr>
    </w:div>
    <w:div w:id="369302268">
      <w:bodyDiv w:val="1"/>
      <w:marLeft w:val="0"/>
      <w:marRight w:val="0"/>
      <w:marTop w:val="0"/>
      <w:marBottom w:val="0"/>
      <w:divBdr>
        <w:top w:val="none" w:sz="0" w:space="0" w:color="auto"/>
        <w:left w:val="none" w:sz="0" w:space="0" w:color="auto"/>
        <w:bottom w:val="none" w:sz="0" w:space="0" w:color="auto"/>
        <w:right w:val="none" w:sz="0" w:space="0" w:color="auto"/>
      </w:divBdr>
    </w:div>
    <w:div w:id="373821055">
      <w:bodyDiv w:val="1"/>
      <w:marLeft w:val="0"/>
      <w:marRight w:val="0"/>
      <w:marTop w:val="0"/>
      <w:marBottom w:val="0"/>
      <w:divBdr>
        <w:top w:val="none" w:sz="0" w:space="0" w:color="auto"/>
        <w:left w:val="none" w:sz="0" w:space="0" w:color="auto"/>
        <w:bottom w:val="none" w:sz="0" w:space="0" w:color="auto"/>
        <w:right w:val="none" w:sz="0" w:space="0" w:color="auto"/>
      </w:divBdr>
    </w:div>
    <w:div w:id="376468248">
      <w:bodyDiv w:val="1"/>
      <w:marLeft w:val="0"/>
      <w:marRight w:val="0"/>
      <w:marTop w:val="0"/>
      <w:marBottom w:val="0"/>
      <w:divBdr>
        <w:top w:val="none" w:sz="0" w:space="0" w:color="auto"/>
        <w:left w:val="none" w:sz="0" w:space="0" w:color="auto"/>
        <w:bottom w:val="none" w:sz="0" w:space="0" w:color="auto"/>
        <w:right w:val="none" w:sz="0" w:space="0" w:color="auto"/>
      </w:divBdr>
    </w:div>
    <w:div w:id="381055626">
      <w:bodyDiv w:val="1"/>
      <w:marLeft w:val="0"/>
      <w:marRight w:val="0"/>
      <w:marTop w:val="0"/>
      <w:marBottom w:val="0"/>
      <w:divBdr>
        <w:top w:val="none" w:sz="0" w:space="0" w:color="auto"/>
        <w:left w:val="none" w:sz="0" w:space="0" w:color="auto"/>
        <w:bottom w:val="none" w:sz="0" w:space="0" w:color="auto"/>
        <w:right w:val="none" w:sz="0" w:space="0" w:color="auto"/>
      </w:divBdr>
      <w:divsChild>
        <w:div w:id="942764691">
          <w:marLeft w:val="0"/>
          <w:marRight w:val="0"/>
          <w:marTop w:val="0"/>
          <w:marBottom w:val="0"/>
          <w:divBdr>
            <w:top w:val="none" w:sz="0" w:space="0" w:color="auto"/>
            <w:left w:val="none" w:sz="0" w:space="0" w:color="auto"/>
            <w:bottom w:val="none" w:sz="0" w:space="0" w:color="auto"/>
            <w:right w:val="none" w:sz="0" w:space="0" w:color="auto"/>
          </w:divBdr>
          <w:divsChild>
            <w:div w:id="687174542">
              <w:marLeft w:val="0"/>
              <w:marRight w:val="0"/>
              <w:marTop w:val="0"/>
              <w:marBottom w:val="0"/>
              <w:divBdr>
                <w:top w:val="none" w:sz="0" w:space="0" w:color="auto"/>
                <w:left w:val="none" w:sz="0" w:space="0" w:color="auto"/>
                <w:bottom w:val="none" w:sz="0" w:space="0" w:color="auto"/>
                <w:right w:val="none" w:sz="0" w:space="0" w:color="auto"/>
              </w:divBdr>
              <w:divsChild>
                <w:div w:id="1189873752">
                  <w:marLeft w:val="0"/>
                  <w:marRight w:val="0"/>
                  <w:marTop w:val="0"/>
                  <w:marBottom w:val="0"/>
                  <w:divBdr>
                    <w:top w:val="none" w:sz="0" w:space="0" w:color="auto"/>
                    <w:left w:val="none" w:sz="0" w:space="0" w:color="auto"/>
                    <w:bottom w:val="single" w:sz="6" w:space="0" w:color="DDDDDD"/>
                    <w:right w:val="none" w:sz="0" w:space="0" w:color="auto"/>
                  </w:divBdr>
                  <w:divsChild>
                    <w:div w:id="19065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409269">
      <w:bodyDiv w:val="1"/>
      <w:marLeft w:val="0"/>
      <w:marRight w:val="0"/>
      <w:marTop w:val="0"/>
      <w:marBottom w:val="0"/>
      <w:divBdr>
        <w:top w:val="none" w:sz="0" w:space="0" w:color="auto"/>
        <w:left w:val="none" w:sz="0" w:space="0" w:color="auto"/>
        <w:bottom w:val="none" w:sz="0" w:space="0" w:color="auto"/>
        <w:right w:val="none" w:sz="0" w:space="0" w:color="auto"/>
      </w:divBdr>
    </w:div>
    <w:div w:id="388039813">
      <w:bodyDiv w:val="1"/>
      <w:marLeft w:val="0"/>
      <w:marRight w:val="0"/>
      <w:marTop w:val="0"/>
      <w:marBottom w:val="0"/>
      <w:divBdr>
        <w:top w:val="none" w:sz="0" w:space="0" w:color="auto"/>
        <w:left w:val="none" w:sz="0" w:space="0" w:color="auto"/>
        <w:bottom w:val="none" w:sz="0" w:space="0" w:color="auto"/>
        <w:right w:val="none" w:sz="0" w:space="0" w:color="auto"/>
      </w:divBdr>
    </w:div>
    <w:div w:id="398097823">
      <w:bodyDiv w:val="1"/>
      <w:marLeft w:val="0"/>
      <w:marRight w:val="0"/>
      <w:marTop w:val="0"/>
      <w:marBottom w:val="0"/>
      <w:divBdr>
        <w:top w:val="none" w:sz="0" w:space="0" w:color="auto"/>
        <w:left w:val="none" w:sz="0" w:space="0" w:color="auto"/>
        <w:bottom w:val="none" w:sz="0" w:space="0" w:color="auto"/>
        <w:right w:val="none" w:sz="0" w:space="0" w:color="auto"/>
      </w:divBdr>
    </w:div>
    <w:div w:id="417794603">
      <w:bodyDiv w:val="1"/>
      <w:marLeft w:val="0"/>
      <w:marRight w:val="0"/>
      <w:marTop w:val="0"/>
      <w:marBottom w:val="0"/>
      <w:divBdr>
        <w:top w:val="none" w:sz="0" w:space="0" w:color="auto"/>
        <w:left w:val="none" w:sz="0" w:space="0" w:color="auto"/>
        <w:bottom w:val="none" w:sz="0" w:space="0" w:color="auto"/>
        <w:right w:val="none" w:sz="0" w:space="0" w:color="auto"/>
      </w:divBdr>
    </w:div>
    <w:div w:id="423569633">
      <w:bodyDiv w:val="1"/>
      <w:marLeft w:val="0"/>
      <w:marRight w:val="0"/>
      <w:marTop w:val="0"/>
      <w:marBottom w:val="0"/>
      <w:divBdr>
        <w:top w:val="none" w:sz="0" w:space="0" w:color="auto"/>
        <w:left w:val="none" w:sz="0" w:space="0" w:color="auto"/>
        <w:bottom w:val="none" w:sz="0" w:space="0" w:color="auto"/>
        <w:right w:val="none" w:sz="0" w:space="0" w:color="auto"/>
      </w:divBdr>
    </w:div>
    <w:div w:id="425421223">
      <w:bodyDiv w:val="1"/>
      <w:marLeft w:val="0"/>
      <w:marRight w:val="0"/>
      <w:marTop w:val="0"/>
      <w:marBottom w:val="0"/>
      <w:divBdr>
        <w:top w:val="none" w:sz="0" w:space="0" w:color="auto"/>
        <w:left w:val="none" w:sz="0" w:space="0" w:color="auto"/>
        <w:bottom w:val="none" w:sz="0" w:space="0" w:color="auto"/>
        <w:right w:val="none" w:sz="0" w:space="0" w:color="auto"/>
      </w:divBdr>
    </w:div>
    <w:div w:id="434398085">
      <w:bodyDiv w:val="1"/>
      <w:marLeft w:val="0"/>
      <w:marRight w:val="0"/>
      <w:marTop w:val="0"/>
      <w:marBottom w:val="0"/>
      <w:divBdr>
        <w:top w:val="none" w:sz="0" w:space="0" w:color="auto"/>
        <w:left w:val="none" w:sz="0" w:space="0" w:color="auto"/>
        <w:bottom w:val="none" w:sz="0" w:space="0" w:color="auto"/>
        <w:right w:val="none" w:sz="0" w:space="0" w:color="auto"/>
      </w:divBdr>
    </w:div>
    <w:div w:id="450249412">
      <w:bodyDiv w:val="1"/>
      <w:marLeft w:val="0"/>
      <w:marRight w:val="0"/>
      <w:marTop w:val="0"/>
      <w:marBottom w:val="0"/>
      <w:divBdr>
        <w:top w:val="none" w:sz="0" w:space="0" w:color="auto"/>
        <w:left w:val="none" w:sz="0" w:space="0" w:color="auto"/>
        <w:bottom w:val="none" w:sz="0" w:space="0" w:color="auto"/>
        <w:right w:val="none" w:sz="0" w:space="0" w:color="auto"/>
      </w:divBdr>
    </w:div>
    <w:div w:id="464156968">
      <w:bodyDiv w:val="1"/>
      <w:marLeft w:val="0"/>
      <w:marRight w:val="0"/>
      <w:marTop w:val="0"/>
      <w:marBottom w:val="0"/>
      <w:divBdr>
        <w:top w:val="none" w:sz="0" w:space="0" w:color="auto"/>
        <w:left w:val="none" w:sz="0" w:space="0" w:color="auto"/>
        <w:bottom w:val="none" w:sz="0" w:space="0" w:color="auto"/>
        <w:right w:val="none" w:sz="0" w:space="0" w:color="auto"/>
      </w:divBdr>
      <w:divsChild>
        <w:div w:id="1115519148">
          <w:marLeft w:val="0"/>
          <w:marRight w:val="0"/>
          <w:marTop w:val="0"/>
          <w:marBottom w:val="0"/>
          <w:divBdr>
            <w:top w:val="none" w:sz="0" w:space="0" w:color="auto"/>
            <w:left w:val="none" w:sz="0" w:space="0" w:color="auto"/>
            <w:bottom w:val="none" w:sz="0" w:space="0" w:color="auto"/>
            <w:right w:val="none" w:sz="0" w:space="0" w:color="auto"/>
          </w:divBdr>
          <w:divsChild>
            <w:div w:id="40329798">
              <w:marLeft w:val="0"/>
              <w:marRight w:val="0"/>
              <w:marTop w:val="0"/>
              <w:marBottom w:val="0"/>
              <w:divBdr>
                <w:top w:val="none" w:sz="0" w:space="0" w:color="auto"/>
                <w:left w:val="none" w:sz="0" w:space="0" w:color="auto"/>
                <w:bottom w:val="none" w:sz="0" w:space="0" w:color="auto"/>
                <w:right w:val="none" w:sz="0" w:space="0" w:color="auto"/>
              </w:divBdr>
              <w:divsChild>
                <w:div w:id="1602372539">
                  <w:marLeft w:val="0"/>
                  <w:marRight w:val="0"/>
                  <w:marTop w:val="0"/>
                  <w:marBottom w:val="0"/>
                  <w:divBdr>
                    <w:top w:val="none" w:sz="0" w:space="0" w:color="auto"/>
                    <w:left w:val="none" w:sz="0" w:space="0" w:color="auto"/>
                    <w:bottom w:val="none" w:sz="0" w:space="0" w:color="auto"/>
                    <w:right w:val="none" w:sz="0" w:space="0" w:color="auto"/>
                  </w:divBdr>
                  <w:divsChild>
                    <w:div w:id="1180579382">
                      <w:marLeft w:val="0"/>
                      <w:marRight w:val="0"/>
                      <w:marTop w:val="0"/>
                      <w:marBottom w:val="0"/>
                      <w:divBdr>
                        <w:top w:val="none" w:sz="0" w:space="0" w:color="auto"/>
                        <w:left w:val="none" w:sz="0" w:space="0" w:color="auto"/>
                        <w:bottom w:val="none" w:sz="0" w:space="0" w:color="auto"/>
                        <w:right w:val="none" w:sz="0" w:space="0" w:color="auto"/>
                      </w:divBdr>
                      <w:divsChild>
                        <w:div w:id="1155223272">
                          <w:marLeft w:val="0"/>
                          <w:marRight w:val="0"/>
                          <w:marTop w:val="0"/>
                          <w:marBottom w:val="0"/>
                          <w:divBdr>
                            <w:top w:val="none" w:sz="0" w:space="0" w:color="auto"/>
                            <w:left w:val="none" w:sz="0" w:space="0" w:color="auto"/>
                            <w:bottom w:val="none" w:sz="0" w:space="0" w:color="auto"/>
                            <w:right w:val="none" w:sz="0" w:space="0" w:color="auto"/>
                          </w:divBdr>
                          <w:divsChild>
                            <w:div w:id="849610868">
                              <w:marLeft w:val="0"/>
                              <w:marRight w:val="0"/>
                              <w:marTop w:val="0"/>
                              <w:marBottom w:val="0"/>
                              <w:divBdr>
                                <w:top w:val="none" w:sz="0" w:space="0" w:color="auto"/>
                                <w:left w:val="none" w:sz="0" w:space="0" w:color="auto"/>
                                <w:bottom w:val="none" w:sz="0" w:space="0" w:color="auto"/>
                                <w:right w:val="none" w:sz="0" w:space="0" w:color="auto"/>
                              </w:divBdr>
                              <w:divsChild>
                                <w:div w:id="241987313">
                                  <w:marLeft w:val="0"/>
                                  <w:marRight w:val="0"/>
                                  <w:marTop w:val="0"/>
                                  <w:marBottom w:val="0"/>
                                  <w:divBdr>
                                    <w:top w:val="none" w:sz="0" w:space="0" w:color="auto"/>
                                    <w:left w:val="none" w:sz="0" w:space="0" w:color="auto"/>
                                    <w:bottom w:val="none" w:sz="0" w:space="0" w:color="auto"/>
                                    <w:right w:val="none" w:sz="0" w:space="0" w:color="auto"/>
                                  </w:divBdr>
                                  <w:divsChild>
                                    <w:div w:id="271210582">
                                      <w:marLeft w:val="0"/>
                                      <w:marRight w:val="0"/>
                                      <w:marTop w:val="0"/>
                                      <w:marBottom w:val="0"/>
                                      <w:divBdr>
                                        <w:top w:val="none" w:sz="0" w:space="0" w:color="auto"/>
                                        <w:left w:val="none" w:sz="0" w:space="0" w:color="auto"/>
                                        <w:bottom w:val="none" w:sz="0" w:space="0" w:color="auto"/>
                                        <w:right w:val="none" w:sz="0" w:space="0" w:color="auto"/>
                                      </w:divBdr>
                                      <w:divsChild>
                                        <w:div w:id="1326085325">
                                          <w:marLeft w:val="0"/>
                                          <w:marRight w:val="0"/>
                                          <w:marTop w:val="0"/>
                                          <w:marBottom w:val="0"/>
                                          <w:divBdr>
                                            <w:top w:val="none" w:sz="0" w:space="0" w:color="auto"/>
                                            <w:left w:val="none" w:sz="0" w:space="0" w:color="auto"/>
                                            <w:bottom w:val="none" w:sz="0" w:space="0" w:color="auto"/>
                                            <w:right w:val="none" w:sz="0" w:space="0" w:color="auto"/>
                                          </w:divBdr>
                                          <w:divsChild>
                                            <w:div w:id="958875121">
                                              <w:marLeft w:val="0"/>
                                              <w:marRight w:val="0"/>
                                              <w:marTop w:val="0"/>
                                              <w:marBottom w:val="0"/>
                                              <w:divBdr>
                                                <w:top w:val="none" w:sz="0" w:space="0" w:color="auto"/>
                                                <w:left w:val="none" w:sz="0" w:space="0" w:color="auto"/>
                                                <w:bottom w:val="none" w:sz="0" w:space="0" w:color="auto"/>
                                                <w:right w:val="none" w:sz="0" w:space="0" w:color="auto"/>
                                              </w:divBdr>
                                              <w:divsChild>
                                                <w:div w:id="616910461">
                                                  <w:marLeft w:val="0"/>
                                                  <w:marRight w:val="0"/>
                                                  <w:marTop w:val="0"/>
                                                  <w:marBottom w:val="0"/>
                                                  <w:divBdr>
                                                    <w:top w:val="none" w:sz="0" w:space="0" w:color="auto"/>
                                                    <w:left w:val="none" w:sz="0" w:space="0" w:color="auto"/>
                                                    <w:bottom w:val="none" w:sz="0" w:space="0" w:color="auto"/>
                                                    <w:right w:val="none" w:sz="0" w:space="0" w:color="auto"/>
                                                  </w:divBdr>
                                                  <w:divsChild>
                                                    <w:div w:id="1615676545">
                                                      <w:marLeft w:val="0"/>
                                                      <w:marRight w:val="0"/>
                                                      <w:marTop w:val="0"/>
                                                      <w:marBottom w:val="0"/>
                                                      <w:divBdr>
                                                        <w:top w:val="none" w:sz="0" w:space="0" w:color="auto"/>
                                                        <w:left w:val="none" w:sz="0" w:space="0" w:color="auto"/>
                                                        <w:bottom w:val="none" w:sz="0" w:space="0" w:color="auto"/>
                                                        <w:right w:val="none" w:sz="0" w:space="0" w:color="auto"/>
                                                      </w:divBdr>
                                                      <w:divsChild>
                                                        <w:div w:id="452090128">
                                                          <w:marLeft w:val="0"/>
                                                          <w:marRight w:val="0"/>
                                                          <w:marTop w:val="0"/>
                                                          <w:marBottom w:val="0"/>
                                                          <w:divBdr>
                                                            <w:top w:val="none" w:sz="0" w:space="0" w:color="auto"/>
                                                            <w:left w:val="none" w:sz="0" w:space="0" w:color="auto"/>
                                                            <w:bottom w:val="none" w:sz="0" w:space="0" w:color="auto"/>
                                                            <w:right w:val="none" w:sz="0" w:space="0" w:color="auto"/>
                                                          </w:divBdr>
                                                          <w:divsChild>
                                                            <w:div w:id="293558482">
                                                              <w:marLeft w:val="0"/>
                                                              <w:marRight w:val="0"/>
                                                              <w:marTop w:val="0"/>
                                                              <w:marBottom w:val="0"/>
                                                              <w:divBdr>
                                                                <w:top w:val="none" w:sz="0" w:space="0" w:color="auto"/>
                                                                <w:left w:val="none" w:sz="0" w:space="0" w:color="auto"/>
                                                                <w:bottom w:val="none" w:sz="0" w:space="0" w:color="auto"/>
                                                                <w:right w:val="none" w:sz="0" w:space="0" w:color="auto"/>
                                                              </w:divBdr>
                                                              <w:divsChild>
                                                                <w:div w:id="1616789993">
                                                                  <w:marLeft w:val="0"/>
                                                                  <w:marRight w:val="0"/>
                                                                  <w:marTop w:val="0"/>
                                                                  <w:marBottom w:val="0"/>
                                                                  <w:divBdr>
                                                                    <w:top w:val="none" w:sz="0" w:space="0" w:color="auto"/>
                                                                    <w:left w:val="none" w:sz="0" w:space="0" w:color="auto"/>
                                                                    <w:bottom w:val="none" w:sz="0" w:space="0" w:color="auto"/>
                                                                    <w:right w:val="none" w:sz="0" w:space="0" w:color="auto"/>
                                                                  </w:divBdr>
                                                                  <w:divsChild>
                                                                    <w:div w:id="810710046">
                                                                      <w:marLeft w:val="0"/>
                                                                      <w:marRight w:val="0"/>
                                                                      <w:marTop w:val="0"/>
                                                                      <w:marBottom w:val="0"/>
                                                                      <w:divBdr>
                                                                        <w:top w:val="none" w:sz="0" w:space="0" w:color="auto"/>
                                                                        <w:left w:val="none" w:sz="0" w:space="0" w:color="auto"/>
                                                                        <w:bottom w:val="none" w:sz="0" w:space="0" w:color="auto"/>
                                                                        <w:right w:val="none" w:sz="0" w:space="0" w:color="auto"/>
                                                                      </w:divBdr>
                                                                      <w:divsChild>
                                                                        <w:div w:id="98064695">
                                                                          <w:marLeft w:val="0"/>
                                                                          <w:marRight w:val="0"/>
                                                                          <w:marTop w:val="0"/>
                                                                          <w:marBottom w:val="0"/>
                                                                          <w:divBdr>
                                                                            <w:top w:val="none" w:sz="0" w:space="0" w:color="auto"/>
                                                                            <w:left w:val="none" w:sz="0" w:space="0" w:color="auto"/>
                                                                            <w:bottom w:val="none" w:sz="0" w:space="0" w:color="auto"/>
                                                                            <w:right w:val="none" w:sz="0" w:space="0" w:color="auto"/>
                                                                          </w:divBdr>
                                                                          <w:divsChild>
                                                                            <w:div w:id="736981157">
                                                                              <w:marLeft w:val="0"/>
                                                                              <w:marRight w:val="0"/>
                                                                              <w:marTop w:val="0"/>
                                                                              <w:marBottom w:val="0"/>
                                                                              <w:divBdr>
                                                                                <w:top w:val="none" w:sz="0" w:space="0" w:color="auto"/>
                                                                                <w:left w:val="none" w:sz="0" w:space="0" w:color="auto"/>
                                                                                <w:bottom w:val="none" w:sz="0" w:space="0" w:color="auto"/>
                                                                                <w:right w:val="none" w:sz="0" w:space="0" w:color="auto"/>
                                                                              </w:divBdr>
                                                                              <w:divsChild>
                                                                                <w:div w:id="3923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5924968">
      <w:bodyDiv w:val="1"/>
      <w:marLeft w:val="0"/>
      <w:marRight w:val="0"/>
      <w:marTop w:val="0"/>
      <w:marBottom w:val="0"/>
      <w:divBdr>
        <w:top w:val="none" w:sz="0" w:space="0" w:color="auto"/>
        <w:left w:val="none" w:sz="0" w:space="0" w:color="auto"/>
        <w:bottom w:val="none" w:sz="0" w:space="0" w:color="auto"/>
        <w:right w:val="none" w:sz="0" w:space="0" w:color="auto"/>
      </w:divBdr>
    </w:div>
    <w:div w:id="480121681">
      <w:bodyDiv w:val="1"/>
      <w:marLeft w:val="0"/>
      <w:marRight w:val="0"/>
      <w:marTop w:val="0"/>
      <w:marBottom w:val="0"/>
      <w:divBdr>
        <w:top w:val="none" w:sz="0" w:space="0" w:color="auto"/>
        <w:left w:val="none" w:sz="0" w:space="0" w:color="auto"/>
        <w:bottom w:val="none" w:sz="0" w:space="0" w:color="auto"/>
        <w:right w:val="none" w:sz="0" w:space="0" w:color="auto"/>
      </w:divBdr>
    </w:div>
    <w:div w:id="484053841">
      <w:bodyDiv w:val="1"/>
      <w:marLeft w:val="0"/>
      <w:marRight w:val="0"/>
      <w:marTop w:val="0"/>
      <w:marBottom w:val="0"/>
      <w:divBdr>
        <w:top w:val="none" w:sz="0" w:space="0" w:color="auto"/>
        <w:left w:val="none" w:sz="0" w:space="0" w:color="auto"/>
        <w:bottom w:val="none" w:sz="0" w:space="0" w:color="auto"/>
        <w:right w:val="none" w:sz="0" w:space="0" w:color="auto"/>
      </w:divBdr>
    </w:div>
    <w:div w:id="485516409">
      <w:bodyDiv w:val="1"/>
      <w:marLeft w:val="0"/>
      <w:marRight w:val="0"/>
      <w:marTop w:val="0"/>
      <w:marBottom w:val="0"/>
      <w:divBdr>
        <w:top w:val="none" w:sz="0" w:space="0" w:color="auto"/>
        <w:left w:val="none" w:sz="0" w:space="0" w:color="auto"/>
        <w:bottom w:val="none" w:sz="0" w:space="0" w:color="auto"/>
        <w:right w:val="none" w:sz="0" w:space="0" w:color="auto"/>
      </w:divBdr>
    </w:div>
    <w:div w:id="495733447">
      <w:bodyDiv w:val="1"/>
      <w:marLeft w:val="0"/>
      <w:marRight w:val="0"/>
      <w:marTop w:val="0"/>
      <w:marBottom w:val="0"/>
      <w:divBdr>
        <w:top w:val="none" w:sz="0" w:space="0" w:color="auto"/>
        <w:left w:val="none" w:sz="0" w:space="0" w:color="auto"/>
        <w:bottom w:val="none" w:sz="0" w:space="0" w:color="auto"/>
        <w:right w:val="none" w:sz="0" w:space="0" w:color="auto"/>
      </w:divBdr>
    </w:div>
    <w:div w:id="498236719">
      <w:bodyDiv w:val="1"/>
      <w:marLeft w:val="0"/>
      <w:marRight w:val="0"/>
      <w:marTop w:val="0"/>
      <w:marBottom w:val="0"/>
      <w:divBdr>
        <w:top w:val="none" w:sz="0" w:space="0" w:color="auto"/>
        <w:left w:val="none" w:sz="0" w:space="0" w:color="auto"/>
        <w:bottom w:val="none" w:sz="0" w:space="0" w:color="auto"/>
        <w:right w:val="none" w:sz="0" w:space="0" w:color="auto"/>
      </w:divBdr>
    </w:div>
    <w:div w:id="498620734">
      <w:bodyDiv w:val="1"/>
      <w:marLeft w:val="0"/>
      <w:marRight w:val="0"/>
      <w:marTop w:val="0"/>
      <w:marBottom w:val="0"/>
      <w:divBdr>
        <w:top w:val="none" w:sz="0" w:space="0" w:color="auto"/>
        <w:left w:val="none" w:sz="0" w:space="0" w:color="auto"/>
        <w:bottom w:val="none" w:sz="0" w:space="0" w:color="auto"/>
        <w:right w:val="none" w:sz="0" w:space="0" w:color="auto"/>
      </w:divBdr>
    </w:div>
    <w:div w:id="583612064">
      <w:bodyDiv w:val="1"/>
      <w:marLeft w:val="0"/>
      <w:marRight w:val="0"/>
      <w:marTop w:val="0"/>
      <w:marBottom w:val="0"/>
      <w:divBdr>
        <w:top w:val="none" w:sz="0" w:space="0" w:color="auto"/>
        <w:left w:val="none" w:sz="0" w:space="0" w:color="auto"/>
        <w:bottom w:val="none" w:sz="0" w:space="0" w:color="auto"/>
        <w:right w:val="none" w:sz="0" w:space="0" w:color="auto"/>
      </w:divBdr>
    </w:div>
    <w:div w:id="592981304">
      <w:bodyDiv w:val="1"/>
      <w:marLeft w:val="0"/>
      <w:marRight w:val="0"/>
      <w:marTop w:val="0"/>
      <w:marBottom w:val="0"/>
      <w:divBdr>
        <w:top w:val="none" w:sz="0" w:space="0" w:color="auto"/>
        <w:left w:val="none" w:sz="0" w:space="0" w:color="auto"/>
        <w:bottom w:val="none" w:sz="0" w:space="0" w:color="auto"/>
        <w:right w:val="none" w:sz="0" w:space="0" w:color="auto"/>
      </w:divBdr>
      <w:divsChild>
        <w:div w:id="1416979709">
          <w:marLeft w:val="0"/>
          <w:marRight w:val="0"/>
          <w:marTop w:val="480"/>
          <w:marBottom w:val="390"/>
          <w:divBdr>
            <w:top w:val="none" w:sz="0" w:space="0" w:color="auto"/>
            <w:left w:val="none" w:sz="0" w:space="0" w:color="auto"/>
            <w:bottom w:val="none" w:sz="0" w:space="0" w:color="auto"/>
            <w:right w:val="none" w:sz="0" w:space="0" w:color="auto"/>
          </w:divBdr>
          <w:divsChild>
            <w:div w:id="1148790523">
              <w:marLeft w:val="90"/>
              <w:marRight w:val="0"/>
              <w:marTop w:val="0"/>
              <w:marBottom w:val="0"/>
              <w:divBdr>
                <w:top w:val="none" w:sz="0" w:space="0" w:color="auto"/>
                <w:left w:val="none" w:sz="0" w:space="0" w:color="auto"/>
                <w:bottom w:val="none" w:sz="0" w:space="0" w:color="auto"/>
                <w:right w:val="none" w:sz="0" w:space="0" w:color="auto"/>
              </w:divBdr>
              <w:divsChild>
                <w:div w:id="245068303">
                  <w:marLeft w:val="0"/>
                  <w:marRight w:val="0"/>
                  <w:marTop w:val="0"/>
                  <w:marBottom w:val="0"/>
                  <w:divBdr>
                    <w:top w:val="none" w:sz="0" w:space="0" w:color="auto"/>
                    <w:left w:val="none" w:sz="0" w:space="0" w:color="auto"/>
                    <w:bottom w:val="none" w:sz="0" w:space="0" w:color="auto"/>
                    <w:right w:val="none" w:sz="0" w:space="0" w:color="auto"/>
                  </w:divBdr>
                </w:div>
              </w:divsChild>
            </w:div>
            <w:div w:id="1790777168">
              <w:marLeft w:val="0"/>
              <w:marRight w:val="0"/>
              <w:marTop w:val="0"/>
              <w:marBottom w:val="0"/>
              <w:divBdr>
                <w:top w:val="none" w:sz="0" w:space="0" w:color="auto"/>
                <w:left w:val="none" w:sz="0" w:space="0" w:color="auto"/>
                <w:bottom w:val="none" w:sz="0" w:space="0" w:color="auto"/>
                <w:right w:val="none" w:sz="0" w:space="0" w:color="auto"/>
              </w:divBdr>
            </w:div>
          </w:divsChild>
        </w:div>
        <w:div w:id="1386441710">
          <w:marLeft w:val="0"/>
          <w:marRight w:val="75"/>
          <w:marTop w:val="0"/>
          <w:marBottom w:val="0"/>
          <w:divBdr>
            <w:top w:val="none" w:sz="0" w:space="0" w:color="auto"/>
            <w:left w:val="none" w:sz="0" w:space="0" w:color="auto"/>
            <w:bottom w:val="none" w:sz="0" w:space="0" w:color="auto"/>
            <w:right w:val="none" w:sz="0" w:space="0" w:color="auto"/>
          </w:divBdr>
        </w:div>
      </w:divsChild>
    </w:div>
    <w:div w:id="598758163">
      <w:bodyDiv w:val="1"/>
      <w:marLeft w:val="0"/>
      <w:marRight w:val="0"/>
      <w:marTop w:val="0"/>
      <w:marBottom w:val="0"/>
      <w:divBdr>
        <w:top w:val="none" w:sz="0" w:space="0" w:color="auto"/>
        <w:left w:val="none" w:sz="0" w:space="0" w:color="auto"/>
        <w:bottom w:val="none" w:sz="0" w:space="0" w:color="auto"/>
        <w:right w:val="none" w:sz="0" w:space="0" w:color="auto"/>
      </w:divBdr>
    </w:div>
    <w:div w:id="614945529">
      <w:bodyDiv w:val="1"/>
      <w:marLeft w:val="0"/>
      <w:marRight w:val="0"/>
      <w:marTop w:val="0"/>
      <w:marBottom w:val="0"/>
      <w:divBdr>
        <w:top w:val="none" w:sz="0" w:space="0" w:color="auto"/>
        <w:left w:val="none" w:sz="0" w:space="0" w:color="auto"/>
        <w:bottom w:val="none" w:sz="0" w:space="0" w:color="auto"/>
        <w:right w:val="none" w:sz="0" w:space="0" w:color="auto"/>
      </w:divBdr>
    </w:div>
    <w:div w:id="617881311">
      <w:bodyDiv w:val="1"/>
      <w:marLeft w:val="0"/>
      <w:marRight w:val="0"/>
      <w:marTop w:val="0"/>
      <w:marBottom w:val="0"/>
      <w:divBdr>
        <w:top w:val="none" w:sz="0" w:space="0" w:color="auto"/>
        <w:left w:val="none" w:sz="0" w:space="0" w:color="auto"/>
        <w:bottom w:val="none" w:sz="0" w:space="0" w:color="auto"/>
        <w:right w:val="none" w:sz="0" w:space="0" w:color="auto"/>
      </w:divBdr>
    </w:div>
    <w:div w:id="641886109">
      <w:bodyDiv w:val="1"/>
      <w:marLeft w:val="0"/>
      <w:marRight w:val="0"/>
      <w:marTop w:val="0"/>
      <w:marBottom w:val="0"/>
      <w:divBdr>
        <w:top w:val="none" w:sz="0" w:space="0" w:color="auto"/>
        <w:left w:val="none" w:sz="0" w:space="0" w:color="auto"/>
        <w:bottom w:val="none" w:sz="0" w:space="0" w:color="auto"/>
        <w:right w:val="none" w:sz="0" w:space="0" w:color="auto"/>
      </w:divBdr>
    </w:div>
    <w:div w:id="648290507">
      <w:bodyDiv w:val="1"/>
      <w:marLeft w:val="0"/>
      <w:marRight w:val="0"/>
      <w:marTop w:val="0"/>
      <w:marBottom w:val="0"/>
      <w:divBdr>
        <w:top w:val="none" w:sz="0" w:space="0" w:color="auto"/>
        <w:left w:val="none" w:sz="0" w:space="0" w:color="auto"/>
        <w:bottom w:val="none" w:sz="0" w:space="0" w:color="auto"/>
        <w:right w:val="none" w:sz="0" w:space="0" w:color="auto"/>
      </w:divBdr>
    </w:div>
    <w:div w:id="660962459">
      <w:bodyDiv w:val="1"/>
      <w:marLeft w:val="0"/>
      <w:marRight w:val="0"/>
      <w:marTop w:val="0"/>
      <w:marBottom w:val="0"/>
      <w:divBdr>
        <w:top w:val="none" w:sz="0" w:space="0" w:color="auto"/>
        <w:left w:val="none" w:sz="0" w:space="0" w:color="auto"/>
        <w:bottom w:val="none" w:sz="0" w:space="0" w:color="auto"/>
        <w:right w:val="none" w:sz="0" w:space="0" w:color="auto"/>
      </w:divBdr>
    </w:div>
    <w:div w:id="665327088">
      <w:bodyDiv w:val="1"/>
      <w:marLeft w:val="0"/>
      <w:marRight w:val="0"/>
      <w:marTop w:val="0"/>
      <w:marBottom w:val="0"/>
      <w:divBdr>
        <w:top w:val="none" w:sz="0" w:space="0" w:color="auto"/>
        <w:left w:val="none" w:sz="0" w:space="0" w:color="auto"/>
        <w:bottom w:val="none" w:sz="0" w:space="0" w:color="auto"/>
        <w:right w:val="none" w:sz="0" w:space="0" w:color="auto"/>
      </w:divBdr>
    </w:div>
    <w:div w:id="677269857">
      <w:bodyDiv w:val="1"/>
      <w:marLeft w:val="0"/>
      <w:marRight w:val="0"/>
      <w:marTop w:val="0"/>
      <w:marBottom w:val="0"/>
      <w:divBdr>
        <w:top w:val="none" w:sz="0" w:space="0" w:color="auto"/>
        <w:left w:val="none" w:sz="0" w:space="0" w:color="auto"/>
        <w:bottom w:val="none" w:sz="0" w:space="0" w:color="auto"/>
        <w:right w:val="none" w:sz="0" w:space="0" w:color="auto"/>
      </w:divBdr>
    </w:div>
    <w:div w:id="680737063">
      <w:bodyDiv w:val="1"/>
      <w:marLeft w:val="0"/>
      <w:marRight w:val="0"/>
      <w:marTop w:val="0"/>
      <w:marBottom w:val="0"/>
      <w:divBdr>
        <w:top w:val="none" w:sz="0" w:space="0" w:color="auto"/>
        <w:left w:val="none" w:sz="0" w:space="0" w:color="auto"/>
        <w:bottom w:val="none" w:sz="0" w:space="0" w:color="auto"/>
        <w:right w:val="none" w:sz="0" w:space="0" w:color="auto"/>
      </w:divBdr>
    </w:div>
    <w:div w:id="688216135">
      <w:bodyDiv w:val="1"/>
      <w:marLeft w:val="0"/>
      <w:marRight w:val="0"/>
      <w:marTop w:val="0"/>
      <w:marBottom w:val="0"/>
      <w:divBdr>
        <w:top w:val="none" w:sz="0" w:space="0" w:color="auto"/>
        <w:left w:val="none" w:sz="0" w:space="0" w:color="auto"/>
        <w:bottom w:val="none" w:sz="0" w:space="0" w:color="auto"/>
        <w:right w:val="none" w:sz="0" w:space="0" w:color="auto"/>
      </w:divBdr>
    </w:div>
    <w:div w:id="694111322">
      <w:bodyDiv w:val="1"/>
      <w:marLeft w:val="0"/>
      <w:marRight w:val="0"/>
      <w:marTop w:val="0"/>
      <w:marBottom w:val="0"/>
      <w:divBdr>
        <w:top w:val="none" w:sz="0" w:space="0" w:color="auto"/>
        <w:left w:val="none" w:sz="0" w:space="0" w:color="auto"/>
        <w:bottom w:val="none" w:sz="0" w:space="0" w:color="auto"/>
        <w:right w:val="none" w:sz="0" w:space="0" w:color="auto"/>
      </w:divBdr>
    </w:div>
    <w:div w:id="694116592">
      <w:bodyDiv w:val="1"/>
      <w:marLeft w:val="0"/>
      <w:marRight w:val="0"/>
      <w:marTop w:val="0"/>
      <w:marBottom w:val="0"/>
      <w:divBdr>
        <w:top w:val="none" w:sz="0" w:space="0" w:color="auto"/>
        <w:left w:val="none" w:sz="0" w:space="0" w:color="auto"/>
        <w:bottom w:val="none" w:sz="0" w:space="0" w:color="auto"/>
        <w:right w:val="none" w:sz="0" w:space="0" w:color="auto"/>
      </w:divBdr>
    </w:div>
    <w:div w:id="720598843">
      <w:bodyDiv w:val="1"/>
      <w:marLeft w:val="0"/>
      <w:marRight w:val="0"/>
      <w:marTop w:val="0"/>
      <w:marBottom w:val="0"/>
      <w:divBdr>
        <w:top w:val="none" w:sz="0" w:space="0" w:color="auto"/>
        <w:left w:val="none" w:sz="0" w:space="0" w:color="auto"/>
        <w:bottom w:val="none" w:sz="0" w:space="0" w:color="auto"/>
        <w:right w:val="none" w:sz="0" w:space="0" w:color="auto"/>
      </w:divBdr>
    </w:div>
    <w:div w:id="728578477">
      <w:bodyDiv w:val="1"/>
      <w:marLeft w:val="0"/>
      <w:marRight w:val="0"/>
      <w:marTop w:val="0"/>
      <w:marBottom w:val="0"/>
      <w:divBdr>
        <w:top w:val="none" w:sz="0" w:space="0" w:color="auto"/>
        <w:left w:val="none" w:sz="0" w:space="0" w:color="auto"/>
        <w:bottom w:val="none" w:sz="0" w:space="0" w:color="auto"/>
        <w:right w:val="none" w:sz="0" w:space="0" w:color="auto"/>
      </w:divBdr>
    </w:div>
    <w:div w:id="729500093">
      <w:bodyDiv w:val="1"/>
      <w:marLeft w:val="0"/>
      <w:marRight w:val="0"/>
      <w:marTop w:val="0"/>
      <w:marBottom w:val="0"/>
      <w:divBdr>
        <w:top w:val="none" w:sz="0" w:space="0" w:color="auto"/>
        <w:left w:val="none" w:sz="0" w:space="0" w:color="auto"/>
        <w:bottom w:val="none" w:sz="0" w:space="0" w:color="auto"/>
        <w:right w:val="none" w:sz="0" w:space="0" w:color="auto"/>
      </w:divBdr>
    </w:div>
    <w:div w:id="737442626">
      <w:bodyDiv w:val="1"/>
      <w:marLeft w:val="0"/>
      <w:marRight w:val="0"/>
      <w:marTop w:val="0"/>
      <w:marBottom w:val="0"/>
      <w:divBdr>
        <w:top w:val="none" w:sz="0" w:space="0" w:color="auto"/>
        <w:left w:val="none" w:sz="0" w:space="0" w:color="auto"/>
        <w:bottom w:val="none" w:sz="0" w:space="0" w:color="auto"/>
        <w:right w:val="none" w:sz="0" w:space="0" w:color="auto"/>
      </w:divBdr>
    </w:div>
    <w:div w:id="762805543">
      <w:bodyDiv w:val="1"/>
      <w:marLeft w:val="0"/>
      <w:marRight w:val="0"/>
      <w:marTop w:val="0"/>
      <w:marBottom w:val="0"/>
      <w:divBdr>
        <w:top w:val="none" w:sz="0" w:space="0" w:color="auto"/>
        <w:left w:val="none" w:sz="0" w:space="0" w:color="auto"/>
        <w:bottom w:val="none" w:sz="0" w:space="0" w:color="auto"/>
        <w:right w:val="none" w:sz="0" w:space="0" w:color="auto"/>
      </w:divBdr>
    </w:div>
    <w:div w:id="784083198">
      <w:bodyDiv w:val="1"/>
      <w:marLeft w:val="0"/>
      <w:marRight w:val="0"/>
      <w:marTop w:val="0"/>
      <w:marBottom w:val="0"/>
      <w:divBdr>
        <w:top w:val="none" w:sz="0" w:space="0" w:color="auto"/>
        <w:left w:val="none" w:sz="0" w:space="0" w:color="auto"/>
        <w:bottom w:val="none" w:sz="0" w:space="0" w:color="auto"/>
        <w:right w:val="none" w:sz="0" w:space="0" w:color="auto"/>
      </w:divBdr>
    </w:div>
    <w:div w:id="800002707">
      <w:bodyDiv w:val="1"/>
      <w:marLeft w:val="0"/>
      <w:marRight w:val="0"/>
      <w:marTop w:val="0"/>
      <w:marBottom w:val="0"/>
      <w:divBdr>
        <w:top w:val="none" w:sz="0" w:space="0" w:color="auto"/>
        <w:left w:val="none" w:sz="0" w:space="0" w:color="auto"/>
        <w:bottom w:val="none" w:sz="0" w:space="0" w:color="auto"/>
        <w:right w:val="none" w:sz="0" w:space="0" w:color="auto"/>
      </w:divBdr>
    </w:div>
    <w:div w:id="849224936">
      <w:bodyDiv w:val="1"/>
      <w:marLeft w:val="0"/>
      <w:marRight w:val="0"/>
      <w:marTop w:val="0"/>
      <w:marBottom w:val="0"/>
      <w:divBdr>
        <w:top w:val="none" w:sz="0" w:space="0" w:color="auto"/>
        <w:left w:val="none" w:sz="0" w:space="0" w:color="auto"/>
        <w:bottom w:val="none" w:sz="0" w:space="0" w:color="auto"/>
        <w:right w:val="none" w:sz="0" w:space="0" w:color="auto"/>
      </w:divBdr>
    </w:div>
    <w:div w:id="870071616">
      <w:bodyDiv w:val="1"/>
      <w:marLeft w:val="0"/>
      <w:marRight w:val="0"/>
      <w:marTop w:val="0"/>
      <w:marBottom w:val="0"/>
      <w:divBdr>
        <w:top w:val="none" w:sz="0" w:space="0" w:color="auto"/>
        <w:left w:val="none" w:sz="0" w:space="0" w:color="auto"/>
        <w:bottom w:val="none" w:sz="0" w:space="0" w:color="auto"/>
        <w:right w:val="none" w:sz="0" w:space="0" w:color="auto"/>
      </w:divBdr>
    </w:div>
    <w:div w:id="877549364">
      <w:bodyDiv w:val="1"/>
      <w:marLeft w:val="0"/>
      <w:marRight w:val="0"/>
      <w:marTop w:val="0"/>
      <w:marBottom w:val="0"/>
      <w:divBdr>
        <w:top w:val="none" w:sz="0" w:space="0" w:color="auto"/>
        <w:left w:val="none" w:sz="0" w:space="0" w:color="auto"/>
        <w:bottom w:val="none" w:sz="0" w:space="0" w:color="auto"/>
        <w:right w:val="none" w:sz="0" w:space="0" w:color="auto"/>
      </w:divBdr>
    </w:div>
    <w:div w:id="900946793">
      <w:bodyDiv w:val="1"/>
      <w:marLeft w:val="0"/>
      <w:marRight w:val="0"/>
      <w:marTop w:val="0"/>
      <w:marBottom w:val="0"/>
      <w:divBdr>
        <w:top w:val="none" w:sz="0" w:space="0" w:color="auto"/>
        <w:left w:val="none" w:sz="0" w:space="0" w:color="auto"/>
        <w:bottom w:val="none" w:sz="0" w:space="0" w:color="auto"/>
        <w:right w:val="none" w:sz="0" w:space="0" w:color="auto"/>
      </w:divBdr>
    </w:div>
    <w:div w:id="932670064">
      <w:bodyDiv w:val="1"/>
      <w:marLeft w:val="0"/>
      <w:marRight w:val="0"/>
      <w:marTop w:val="0"/>
      <w:marBottom w:val="0"/>
      <w:divBdr>
        <w:top w:val="none" w:sz="0" w:space="0" w:color="auto"/>
        <w:left w:val="none" w:sz="0" w:space="0" w:color="auto"/>
        <w:bottom w:val="none" w:sz="0" w:space="0" w:color="auto"/>
        <w:right w:val="none" w:sz="0" w:space="0" w:color="auto"/>
      </w:divBdr>
    </w:div>
    <w:div w:id="946548292">
      <w:bodyDiv w:val="1"/>
      <w:marLeft w:val="0"/>
      <w:marRight w:val="0"/>
      <w:marTop w:val="0"/>
      <w:marBottom w:val="0"/>
      <w:divBdr>
        <w:top w:val="none" w:sz="0" w:space="0" w:color="auto"/>
        <w:left w:val="none" w:sz="0" w:space="0" w:color="auto"/>
        <w:bottom w:val="none" w:sz="0" w:space="0" w:color="auto"/>
        <w:right w:val="none" w:sz="0" w:space="0" w:color="auto"/>
      </w:divBdr>
      <w:divsChild>
        <w:div w:id="847982400">
          <w:marLeft w:val="274"/>
          <w:marRight w:val="0"/>
          <w:marTop w:val="0"/>
          <w:marBottom w:val="0"/>
          <w:divBdr>
            <w:top w:val="none" w:sz="0" w:space="0" w:color="auto"/>
            <w:left w:val="none" w:sz="0" w:space="0" w:color="auto"/>
            <w:bottom w:val="none" w:sz="0" w:space="0" w:color="auto"/>
            <w:right w:val="none" w:sz="0" w:space="0" w:color="auto"/>
          </w:divBdr>
        </w:div>
        <w:div w:id="1198396813">
          <w:marLeft w:val="274"/>
          <w:marRight w:val="0"/>
          <w:marTop w:val="0"/>
          <w:marBottom w:val="0"/>
          <w:divBdr>
            <w:top w:val="none" w:sz="0" w:space="0" w:color="auto"/>
            <w:left w:val="none" w:sz="0" w:space="0" w:color="auto"/>
            <w:bottom w:val="none" w:sz="0" w:space="0" w:color="auto"/>
            <w:right w:val="none" w:sz="0" w:space="0" w:color="auto"/>
          </w:divBdr>
        </w:div>
        <w:div w:id="1406302438">
          <w:marLeft w:val="274"/>
          <w:marRight w:val="0"/>
          <w:marTop w:val="0"/>
          <w:marBottom w:val="0"/>
          <w:divBdr>
            <w:top w:val="none" w:sz="0" w:space="0" w:color="auto"/>
            <w:left w:val="none" w:sz="0" w:space="0" w:color="auto"/>
            <w:bottom w:val="none" w:sz="0" w:space="0" w:color="auto"/>
            <w:right w:val="none" w:sz="0" w:space="0" w:color="auto"/>
          </w:divBdr>
        </w:div>
      </w:divsChild>
    </w:div>
    <w:div w:id="960838152">
      <w:bodyDiv w:val="1"/>
      <w:marLeft w:val="0"/>
      <w:marRight w:val="0"/>
      <w:marTop w:val="0"/>
      <w:marBottom w:val="0"/>
      <w:divBdr>
        <w:top w:val="none" w:sz="0" w:space="0" w:color="auto"/>
        <w:left w:val="none" w:sz="0" w:space="0" w:color="auto"/>
        <w:bottom w:val="none" w:sz="0" w:space="0" w:color="auto"/>
        <w:right w:val="none" w:sz="0" w:space="0" w:color="auto"/>
      </w:divBdr>
    </w:div>
    <w:div w:id="986780427">
      <w:bodyDiv w:val="1"/>
      <w:marLeft w:val="0"/>
      <w:marRight w:val="0"/>
      <w:marTop w:val="0"/>
      <w:marBottom w:val="0"/>
      <w:divBdr>
        <w:top w:val="none" w:sz="0" w:space="0" w:color="auto"/>
        <w:left w:val="none" w:sz="0" w:space="0" w:color="auto"/>
        <w:bottom w:val="none" w:sz="0" w:space="0" w:color="auto"/>
        <w:right w:val="none" w:sz="0" w:space="0" w:color="auto"/>
      </w:divBdr>
    </w:div>
    <w:div w:id="997418491">
      <w:bodyDiv w:val="1"/>
      <w:marLeft w:val="0"/>
      <w:marRight w:val="0"/>
      <w:marTop w:val="0"/>
      <w:marBottom w:val="0"/>
      <w:divBdr>
        <w:top w:val="none" w:sz="0" w:space="0" w:color="auto"/>
        <w:left w:val="none" w:sz="0" w:space="0" w:color="auto"/>
        <w:bottom w:val="none" w:sz="0" w:space="0" w:color="auto"/>
        <w:right w:val="none" w:sz="0" w:space="0" w:color="auto"/>
      </w:divBdr>
    </w:div>
    <w:div w:id="1003582889">
      <w:bodyDiv w:val="1"/>
      <w:marLeft w:val="0"/>
      <w:marRight w:val="0"/>
      <w:marTop w:val="0"/>
      <w:marBottom w:val="0"/>
      <w:divBdr>
        <w:top w:val="none" w:sz="0" w:space="0" w:color="auto"/>
        <w:left w:val="none" w:sz="0" w:space="0" w:color="auto"/>
        <w:bottom w:val="none" w:sz="0" w:space="0" w:color="auto"/>
        <w:right w:val="none" w:sz="0" w:space="0" w:color="auto"/>
      </w:divBdr>
    </w:div>
    <w:div w:id="1006593406">
      <w:bodyDiv w:val="1"/>
      <w:marLeft w:val="0"/>
      <w:marRight w:val="0"/>
      <w:marTop w:val="0"/>
      <w:marBottom w:val="0"/>
      <w:divBdr>
        <w:top w:val="none" w:sz="0" w:space="0" w:color="auto"/>
        <w:left w:val="none" w:sz="0" w:space="0" w:color="auto"/>
        <w:bottom w:val="none" w:sz="0" w:space="0" w:color="auto"/>
        <w:right w:val="none" w:sz="0" w:space="0" w:color="auto"/>
      </w:divBdr>
    </w:div>
    <w:div w:id="1011031286">
      <w:bodyDiv w:val="1"/>
      <w:marLeft w:val="0"/>
      <w:marRight w:val="0"/>
      <w:marTop w:val="0"/>
      <w:marBottom w:val="0"/>
      <w:divBdr>
        <w:top w:val="none" w:sz="0" w:space="0" w:color="auto"/>
        <w:left w:val="none" w:sz="0" w:space="0" w:color="auto"/>
        <w:bottom w:val="none" w:sz="0" w:space="0" w:color="auto"/>
        <w:right w:val="none" w:sz="0" w:space="0" w:color="auto"/>
      </w:divBdr>
    </w:div>
    <w:div w:id="1011373523">
      <w:bodyDiv w:val="1"/>
      <w:marLeft w:val="0"/>
      <w:marRight w:val="0"/>
      <w:marTop w:val="0"/>
      <w:marBottom w:val="0"/>
      <w:divBdr>
        <w:top w:val="none" w:sz="0" w:space="0" w:color="auto"/>
        <w:left w:val="none" w:sz="0" w:space="0" w:color="auto"/>
        <w:bottom w:val="none" w:sz="0" w:space="0" w:color="auto"/>
        <w:right w:val="none" w:sz="0" w:space="0" w:color="auto"/>
      </w:divBdr>
    </w:div>
    <w:div w:id="1023749234">
      <w:bodyDiv w:val="1"/>
      <w:marLeft w:val="0"/>
      <w:marRight w:val="0"/>
      <w:marTop w:val="0"/>
      <w:marBottom w:val="0"/>
      <w:divBdr>
        <w:top w:val="none" w:sz="0" w:space="0" w:color="auto"/>
        <w:left w:val="none" w:sz="0" w:space="0" w:color="auto"/>
        <w:bottom w:val="none" w:sz="0" w:space="0" w:color="auto"/>
        <w:right w:val="none" w:sz="0" w:space="0" w:color="auto"/>
      </w:divBdr>
    </w:div>
    <w:div w:id="1046642142">
      <w:bodyDiv w:val="1"/>
      <w:marLeft w:val="0"/>
      <w:marRight w:val="0"/>
      <w:marTop w:val="0"/>
      <w:marBottom w:val="0"/>
      <w:divBdr>
        <w:top w:val="none" w:sz="0" w:space="0" w:color="auto"/>
        <w:left w:val="none" w:sz="0" w:space="0" w:color="auto"/>
        <w:bottom w:val="none" w:sz="0" w:space="0" w:color="auto"/>
        <w:right w:val="none" w:sz="0" w:space="0" w:color="auto"/>
      </w:divBdr>
    </w:div>
    <w:div w:id="1048384680">
      <w:bodyDiv w:val="1"/>
      <w:marLeft w:val="0"/>
      <w:marRight w:val="0"/>
      <w:marTop w:val="0"/>
      <w:marBottom w:val="0"/>
      <w:divBdr>
        <w:top w:val="none" w:sz="0" w:space="0" w:color="auto"/>
        <w:left w:val="none" w:sz="0" w:space="0" w:color="auto"/>
        <w:bottom w:val="none" w:sz="0" w:space="0" w:color="auto"/>
        <w:right w:val="none" w:sz="0" w:space="0" w:color="auto"/>
      </w:divBdr>
    </w:div>
    <w:div w:id="1076585679">
      <w:bodyDiv w:val="1"/>
      <w:marLeft w:val="0"/>
      <w:marRight w:val="0"/>
      <w:marTop w:val="0"/>
      <w:marBottom w:val="0"/>
      <w:divBdr>
        <w:top w:val="none" w:sz="0" w:space="0" w:color="auto"/>
        <w:left w:val="none" w:sz="0" w:space="0" w:color="auto"/>
        <w:bottom w:val="none" w:sz="0" w:space="0" w:color="auto"/>
        <w:right w:val="none" w:sz="0" w:space="0" w:color="auto"/>
      </w:divBdr>
    </w:div>
    <w:div w:id="1079403975">
      <w:bodyDiv w:val="1"/>
      <w:marLeft w:val="0"/>
      <w:marRight w:val="0"/>
      <w:marTop w:val="0"/>
      <w:marBottom w:val="0"/>
      <w:divBdr>
        <w:top w:val="none" w:sz="0" w:space="0" w:color="auto"/>
        <w:left w:val="none" w:sz="0" w:space="0" w:color="auto"/>
        <w:bottom w:val="none" w:sz="0" w:space="0" w:color="auto"/>
        <w:right w:val="none" w:sz="0" w:space="0" w:color="auto"/>
      </w:divBdr>
    </w:div>
    <w:div w:id="1117335842">
      <w:bodyDiv w:val="1"/>
      <w:marLeft w:val="0"/>
      <w:marRight w:val="0"/>
      <w:marTop w:val="0"/>
      <w:marBottom w:val="0"/>
      <w:divBdr>
        <w:top w:val="none" w:sz="0" w:space="0" w:color="auto"/>
        <w:left w:val="none" w:sz="0" w:space="0" w:color="auto"/>
        <w:bottom w:val="none" w:sz="0" w:space="0" w:color="auto"/>
        <w:right w:val="none" w:sz="0" w:space="0" w:color="auto"/>
      </w:divBdr>
    </w:div>
    <w:div w:id="1119447316">
      <w:bodyDiv w:val="1"/>
      <w:marLeft w:val="0"/>
      <w:marRight w:val="0"/>
      <w:marTop w:val="0"/>
      <w:marBottom w:val="0"/>
      <w:divBdr>
        <w:top w:val="none" w:sz="0" w:space="0" w:color="auto"/>
        <w:left w:val="none" w:sz="0" w:space="0" w:color="auto"/>
        <w:bottom w:val="none" w:sz="0" w:space="0" w:color="auto"/>
        <w:right w:val="none" w:sz="0" w:space="0" w:color="auto"/>
      </w:divBdr>
    </w:div>
    <w:div w:id="1131509487">
      <w:bodyDiv w:val="1"/>
      <w:marLeft w:val="0"/>
      <w:marRight w:val="0"/>
      <w:marTop w:val="0"/>
      <w:marBottom w:val="0"/>
      <w:divBdr>
        <w:top w:val="none" w:sz="0" w:space="0" w:color="auto"/>
        <w:left w:val="none" w:sz="0" w:space="0" w:color="auto"/>
        <w:bottom w:val="none" w:sz="0" w:space="0" w:color="auto"/>
        <w:right w:val="none" w:sz="0" w:space="0" w:color="auto"/>
      </w:divBdr>
    </w:div>
    <w:div w:id="1143237430">
      <w:bodyDiv w:val="1"/>
      <w:marLeft w:val="0"/>
      <w:marRight w:val="0"/>
      <w:marTop w:val="0"/>
      <w:marBottom w:val="0"/>
      <w:divBdr>
        <w:top w:val="none" w:sz="0" w:space="0" w:color="auto"/>
        <w:left w:val="none" w:sz="0" w:space="0" w:color="auto"/>
        <w:bottom w:val="none" w:sz="0" w:space="0" w:color="auto"/>
        <w:right w:val="none" w:sz="0" w:space="0" w:color="auto"/>
      </w:divBdr>
    </w:div>
    <w:div w:id="1144811017">
      <w:bodyDiv w:val="1"/>
      <w:marLeft w:val="0"/>
      <w:marRight w:val="0"/>
      <w:marTop w:val="0"/>
      <w:marBottom w:val="0"/>
      <w:divBdr>
        <w:top w:val="none" w:sz="0" w:space="0" w:color="auto"/>
        <w:left w:val="none" w:sz="0" w:space="0" w:color="auto"/>
        <w:bottom w:val="none" w:sz="0" w:space="0" w:color="auto"/>
        <w:right w:val="none" w:sz="0" w:space="0" w:color="auto"/>
      </w:divBdr>
    </w:div>
    <w:div w:id="1148397648">
      <w:bodyDiv w:val="1"/>
      <w:marLeft w:val="0"/>
      <w:marRight w:val="0"/>
      <w:marTop w:val="0"/>
      <w:marBottom w:val="0"/>
      <w:divBdr>
        <w:top w:val="none" w:sz="0" w:space="0" w:color="auto"/>
        <w:left w:val="none" w:sz="0" w:space="0" w:color="auto"/>
        <w:bottom w:val="none" w:sz="0" w:space="0" w:color="auto"/>
        <w:right w:val="none" w:sz="0" w:space="0" w:color="auto"/>
      </w:divBdr>
    </w:div>
    <w:div w:id="1148399932">
      <w:bodyDiv w:val="1"/>
      <w:marLeft w:val="0"/>
      <w:marRight w:val="0"/>
      <w:marTop w:val="0"/>
      <w:marBottom w:val="0"/>
      <w:divBdr>
        <w:top w:val="none" w:sz="0" w:space="0" w:color="auto"/>
        <w:left w:val="none" w:sz="0" w:space="0" w:color="auto"/>
        <w:bottom w:val="none" w:sz="0" w:space="0" w:color="auto"/>
        <w:right w:val="none" w:sz="0" w:space="0" w:color="auto"/>
      </w:divBdr>
    </w:div>
    <w:div w:id="1151751514">
      <w:bodyDiv w:val="1"/>
      <w:marLeft w:val="0"/>
      <w:marRight w:val="0"/>
      <w:marTop w:val="0"/>
      <w:marBottom w:val="0"/>
      <w:divBdr>
        <w:top w:val="none" w:sz="0" w:space="0" w:color="auto"/>
        <w:left w:val="none" w:sz="0" w:space="0" w:color="auto"/>
        <w:bottom w:val="none" w:sz="0" w:space="0" w:color="auto"/>
        <w:right w:val="none" w:sz="0" w:space="0" w:color="auto"/>
      </w:divBdr>
      <w:divsChild>
        <w:div w:id="99105885">
          <w:marLeft w:val="547"/>
          <w:marRight w:val="0"/>
          <w:marTop w:val="48"/>
          <w:marBottom w:val="0"/>
          <w:divBdr>
            <w:top w:val="none" w:sz="0" w:space="0" w:color="auto"/>
            <w:left w:val="none" w:sz="0" w:space="0" w:color="auto"/>
            <w:bottom w:val="none" w:sz="0" w:space="0" w:color="auto"/>
            <w:right w:val="none" w:sz="0" w:space="0" w:color="auto"/>
          </w:divBdr>
        </w:div>
      </w:divsChild>
    </w:div>
    <w:div w:id="1188829335">
      <w:bodyDiv w:val="1"/>
      <w:marLeft w:val="0"/>
      <w:marRight w:val="0"/>
      <w:marTop w:val="0"/>
      <w:marBottom w:val="0"/>
      <w:divBdr>
        <w:top w:val="none" w:sz="0" w:space="0" w:color="auto"/>
        <w:left w:val="none" w:sz="0" w:space="0" w:color="auto"/>
        <w:bottom w:val="none" w:sz="0" w:space="0" w:color="auto"/>
        <w:right w:val="none" w:sz="0" w:space="0" w:color="auto"/>
      </w:divBdr>
    </w:div>
    <w:div w:id="1207721601">
      <w:bodyDiv w:val="1"/>
      <w:marLeft w:val="0"/>
      <w:marRight w:val="0"/>
      <w:marTop w:val="0"/>
      <w:marBottom w:val="0"/>
      <w:divBdr>
        <w:top w:val="none" w:sz="0" w:space="0" w:color="auto"/>
        <w:left w:val="none" w:sz="0" w:space="0" w:color="auto"/>
        <w:bottom w:val="none" w:sz="0" w:space="0" w:color="auto"/>
        <w:right w:val="none" w:sz="0" w:space="0" w:color="auto"/>
      </w:divBdr>
    </w:div>
    <w:div w:id="1231693644">
      <w:bodyDiv w:val="1"/>
      <w:marLeft w:val="0"/>
      <w:marRight w:val="0"/>
      <w:marTop w:val="0"/>
      <w:marBottom w:val="0"/>
      <w:divBdr>
        <w:top w:val="none" w:sz="0" w:space="0" w:color="auto"/>
        <w:left w:val="none" w:sz="0" w:space="0" w:color="auto"/>
        <w:bottom w:val="none" w:sz="0" w:space="0" w:color="auto"/>
        <w:right w:val="none" w:sz="0" w:space="0" w:color="auto"/>
      </w:divBdr>
    </w:div>
    <w:div w:id="1248925459">
      <w:bodyDiv w:val="1"/>
      <w:marLeft w:val="0"/>
      <w:marRight w:val="0"/>
      <w:marTop w:val="0"/>
      <w:marBottom w:val="0"/>
      <w:divBdr>
        <w:top w:val="none" w:sz="0" w:space="0" w:color="auto"/>
        <w:left w:val="none" w:sz="0" w:space="0" w:color="auto"/>
        <w:bottom w:val="none" w:sz="0" w:space="0" w:color="auto"/>
        <w:right w:val="none" w:sz="0" w:space="0" w:color="auto"/>
      </w:divBdr>
    </w:div>
    <w:div w:id="1281767135">
      <w:bodyDiv w:val="1"/>
      <w:marLeft w:val="0"/>
      <w:marRight w:val="0"/>
      <w:marTop w:val="0"/>
      <w:marBottom w:val="0"/>
      <w:divBdr>
        <w:top w:val="none" w:sz="0" w:space="0" w:color="auto"/>
        <w:left w:val="none" w:sz="0" w:space="0" w:color="auto"/>
        <w:bottom w:val="none" w:sz="0" w:space="0" w:color="auto"/>
        <w:right w:val="none" w:sz="0" w:space="0" w:color="auto"/>
      </w:divBdr>
    </w:div>
    <w:div w:id="1296988785">
      <w:bodyDiv w:val="1"/>
      <w:marLeft w:val="0"/>
      <w:marRight w:val="0"/>
      <w:marTop w:val="0"/>
      <w:marBottom w:val="0"/>
      <w:divBdr>
        <w:top w:val="none" w:sz="0" w:space="0" w:color="auto"/>
        <w:left w:val="none" w:sz="0" w:space="0" w:color="auto"/>
        <w:bottom w:val="none" w:sz="0" w:space="0" w:color="auto"/>
        <w:right w:val="none" w:sz="0" w:space="0" w:color="auto"/>
      </w:divBdr>
    </w:div>
    <w:div w:id="1297297846">
      <w:bodyDiv w:val="1"/>
      <w:marLeft w:val="0"/>
      <w:marRight w:val="0"/>
      <w:marTop w:val="0"/>
      <w:marBottom w:val="0"/>
      <w:divBdr>
        <w:top w:val="none" w:sz="0" w:space="0" w:color="auto"/>
        <w:left w:val="none" w:sz="0" w:space="0" w:color="auto"/>
        <w:bottom w:val="none" w:sz="0" w:space="0" w:color="auto"/>
        <w:right w:val="none" w:sz="0" w:space="0" w:color="auto"/>
      </w:divBdr>
    </w:div>
    <w:div w:id="1314062704">
      <w:bodyDiv w:val="1"/>
      <w:marLeft w:val="0"/>
      <w:marRight w:val="0"/>
      <w:marTop w:val="0"/>
      <w:marBottom w:val="0"/>
      <w:divBdr>
        <w:top w:val="none" w:sz="0" w:space="0" w:color="auto"/>
        <w:left w:val="none" w:sz="0" w:space="0" w:color="auto"/>
        <w:bottom w:val="none" w:sz="0" w:space="0" w:color="auto"/>
        <w:right w:val="none" w:sz="0" w:space="0" w:color="auto"/>
      </w:divBdr>
    </w:div>
    <w:div w:id="1323040941">
      <w:bodyDiv w:val="1"/>
      <w:marLeft w:val="0"/>
      <w:marRight w:val="0"/>
      <w:marTop w:val="0"/>
      <w:marBottom w:val="0"/>
      <w:divBdr>
        <w:top w:val="none" w:sz="0" w:space="0" w:color="auto"/>
        <w:left w:val="none" w:sz="0" w:space="0" w:color="auto"/>
        <w:bottom w:val="none" w:sz="0" w:space="0" w:color="auto"/>
        <w:right w:val="none" w:sz="0" w:space="0" w:color="auto"/>
      </w:divBdr>
    </w:div>
    <w:div w:id="1323437156">
      <w:bodyDiv w:val="1"/>
      <w:marLeft w:val="0"/>
      <w:marRight w:val="0"/>
      <w:marTop w:val="0"/>
      <w:marBottom w:val="0"/>
      <w:divBdr>
        <w:top w:val="none" w:sz="0" w:space="0" w:color="auto"/>
        <w:left w:val="none" w:sz="0" w:space="0" w:color="auto"/>
        <w:bottom w:val="none" w:sz="0" w:space="0" w:color="auto"/>
        <w:right w:val="none" w:sz="0" w:space="0" w:color="auto"/>
      </w:divBdr>
    </w:div>
    <w:div w:id="1329097827">
      <w:bodyDiv w:val="1"/>
      <w:marLeft w:val="0"/>
      <w:marRight w:val="0"/>
      <w:marTop w:val="0"/>
      <w:marBottom w:val="0"/>
      <w:divBdr>
        <w:top w:val="none" w:sz="0" w:space="0" w:color="auto"/>
        <w:left w:val="none" w:sz="0" w:space="0" w:color="auto"/>
        <w:bottom w:val="none" w:sz="0" w:space="0" w:color="auto"/>
        <w:right w:val="none" w:sz="0" w:space="0" w:color="auto"/>
      </w:divBdr>
    </w:div>
    <w:div w:id="1334530730">
      <w:bodyDiv w:val="1"/>
      <w:marLeft w:val="0"/>
      <w:marRight w:val="0"/>
      <w:marTop w:val="0"/>
      <w:marBottom w:val="0"/>
      <w:divBdr>
        <w:top w:val="none" w:sz="0" w:space="0" w:color="auto"/>
        <w:left w:val="none" w:sz="0" w:space="0" w:color="auto"/>
        <w:bottom w:val="none" w:sz="0" w:space="0" w:color="auto"/>
        <w:right w:val="none" w:sz="0" w:space="0" w:color="auto"/>
      </w:divBdr>
    </w:div>
    <w:div w:id="1346247446">
      <w:bodyDiv w:val="1"/>
      <w:marLeft w:val="0"/>
      <w:marRight w:val="0"/>
      <w:marTop w:val="0"/>
      <w:marBottom w:val="0"/>
      <w:divBdr>
        <w:top w:val="none" w:sz="0" w:space="0" w:color="auto"/>
        <w:left w:val="none" w:sz="0" w:space="0" w:color="auto"/>
        <w:bottom w:val="none" w:sz="0" w:space="0" w:color="auto"/>
        <w:right w:val="none" w:sz="0" w:space="0" w:color="auto"/>
      </w:divBdr>
    </w:div>
    <w:div w:id="1352338069">
      <w:bodyDiv w:val="1"/>
      <w:marLeft w:val="0"/>
      <w:marRight w:val="0"/>
      <w:marTop w:val="0"/>
      <w:marBottom w:val="0"/>
      <w:divBdr>
        <w:top w:val="none" w:sz="0" w:space="0" w:color="auto"/>
        <w:left w:val="none" w:sz="0" w:space="0" w:color="auto"/>
        <w:bottom w:val="none" w:sz="0" w:space="0" w:color="auto"/>
        <w:right w:val="none" w:sz="0" w:space="0" w:color="auto"/>
      </w:divBdr>
    </w:div>
    <w:div w:id="1363483960">
      <w:bodyDiv w:val="1"/>
      <w:marLeft w:val="0"/>
      <w:marRight w:val="0"/>
      <w:marTop w:val="0"/>
      <w:marBottom w:val="0"/>
      <w:divBdr>
        <w:top w:val="none" w:sz="0" w:space="0" w:color="auto"/>
        <w:left w:val="none" w:sz="0" w:space="0" w:color="auto"/>
        <w:bottom w:val="none" w:sz="0" w:space="0" w:color="auto"/>
        <w:right w:val="none" w:sz="0" w:space="0" w:color="auto"/>
      </w:divBdr>
    </w:div>
    <w:div w:id="1368065883">
      <w:bodyDiv w:val="1"/>
      <w:marLeft w:val="0"/>
      <w:marRight w:val="0"/>
      <w:marTop w:val="0"/>
      <w:marBottom w:val="0"/>
      <w:divBdr>
        <w:top w:val="none" w:sz="0" w:space="0" w:color="auto"/>
        <w:left w:val="none" w:sz="0" w:space="0" w:color="auto"/>
        <w:bottom w:val="none" w:sz="0" w:space="0" w:color="auto"/>
        <w:right w:val="none" w:sz="0" w:space="0" w:color="auto"/>
      </w:divBdr>
    </w:div>
    <w:div w:id="1383869185">
      <w:bodyDiv w:val="1"/>
      <w:marLeft w:val="0"/>
      <w:marRight w:val="0"/>
      <w:marTop w:val="0"/>
      <w:marBottom w:val="0"/>
      <w:divBdr>
        <w:top w:val="none" w:sz="0" w:space="0" w:color="auto"/>
        <w:left w:val="none" w:sz="0" w:space="0" w:color="auto"/>
        <w:bottom w:val="none" w:sz="0" w:space="0" w:color="auto"/>
        <w:right w:val="none" w:sz="0" w:space="0" w:color="auto"/>
      </w:divBdr>
    </w:div>
    <w:div w:id="1416584703">
      <w:bodyDiv w:val="1"/>
      <w:marLeft w:val="0"/>
      <w:marRight w:val="0"/>
      <w:marTop w:val="0"/>
      <w:marBottom w:val="0"/>
      <w:divBdr>
        <w:top w:val="none" w:sz="0" w:space="0" w:color="auto"/>
        <w:left w:val="none" w:sz="0" w:space="0" w:color="auto"/>
        <w:bottom w:val="none" w:sz="0" w:space="0" w:color="auto"/>
        <w:right w:val="none" w:sz="0" w:space="0" w:color="auto"/>
      </w:divBdr>
    </w:div>
    <w:div w:id="1426347107">
      <w:bodyDiv w:val="1"/>
      <w:marLeft w:val="0"/>
      <w:marRight w:val="0"/>
      <w:marTop w:val="0"/>
      <w:marBottom w:val="0"/>
      <w:divBdr>
        <w:top w:val="none" w:sz="0" w:space="0" w:color="auto"/>
        <w:left w:val="none" w:sz="0" w:space="0" w:color="auto"/>
        <w:bottom w:val="none" w:sz="0" w:space="0" w:color="auto"/>
        <w:right w:val="none" w:sz="0" w:space="0" w:color="auto"/>
      </w:divBdr>
    </w:div>
    <w:div w:id="1426417082">
      <w:bodyDiv w:val="1"/>
      <w:marLeft w:val="0"/>
      <w:marRight w:val="0"/>
      <w:marTop w:val="0"/>
      <w:marBottom w:val="0"/>
      <w:divBdr>
        <w:top w:val="none" w:sz="0" w:space="0" w:color="auto"/>
        <w:left w:val="none" w:sz="0" w:space="0" w:color="auto"/>
        <w:bottom w:val="none" w:sz="0" w:space="0" w:color="auto"/>
        <w:right w:val="none" w:sz="0" w:space="0" w:color="auto"/>
      </w:divBdr>
    </w:div>
    <w:div w:id="1441803261">
      <w:bodyDiv w:val="1"/>
      <w:marLeft w:val="0"/>
      <w:marRight w:val="0"/>
      <w:marTop w:val="0"/>
      <w:marBottom w:val="0"/>
      <w:divBdr>
        <w:top w:val="none" w:sz="0" w:space="0" w:color="auto"/>
        <w:left w:val="none" w:sz="0" w:space="0" w:color="auto"/>
        <w:bottom w:val="none" w:sz="0" w:space="0" w:color="auto"/>
        <w:right w:val="none" w:sz="0" w:space="0" w:color="auto"/>
      </w:divBdr>
    </w:div>
    <w:div w:id="1443375615">
      <w:bodyDiv w:val="1"/>
      <w:marLeft w:val="0"/>
      <w:marRight w:val="0"/>
      <w:marTop w:val="0"/>
      <w:marBottom w:val="0"/>
      <w:divBdr>
        <w:top w:val="none" w:sz="0" w:space="0" w:color="auto"/>
        <w:left w:val="none" w:sz="0" w:space="0" w:color="auto"/>
        <w:bottom w:val="none" w:sz="0" w:space="0" w:color="auto"/>
        <w:right w:val="none" w:sz="0" w:space="0" w:color="auto"/>
      </w:divBdr>
      <w:divsChild>
        <w:div w:id="471411419">
          <w:marLeft w:val="0"/>
          <w:marRight w:val="0"/>
          <w:marTop w:val="0"/>
          <w:marBottom w:val="0"/>
          <w:divBdr>
            <w:top w:val="none" w:sz="0" w:space="0" w:color="auto"/>
            <w:left w:val="none" w:sz="0" w:space="0" w:color="auto"/>
            <w:bottom w:val="none" w:sz="0" w:space="0" w:color="auto"/>
            <w:right w:val="none" w:sz="0" w:space="0" w:color="auto"/>
          </w:divBdr>
        </w:div>
        <w:div w:id="462424179">
          <w:marLeft w:val="0"/>
          <w:marRight w:val="0"/>
          <w:marTop w:val="0"/>
          <w:marBottom w:val="0"/>
          <w:divBdr>
            <w:top w:val="none" w:sz="0" w:space="0" w:color="auto"/>
            <w:left w:val="none" w:sz="0" w:space="0" w:color="auto"/>
            <w:bottom w:val="none" w:sz="0" w:space="0" w:color="auto"/>
            <w:right w:val="none" w:sz="0" w:space="0" w:color="auto"/>
          </w:divBdr>
        </w:div>
        <w:div w:id="482812655">
          <w:marLeft w:val="0"/>
          <w:marRight w:val="0"/>
          <w:marTop w:val="0"/>
          <w:marBottom w:val="0"/>
          <w:divBdr>
            <w:top w:val="none" w:sz="0" w:space="0" w:color="auto"/>
            <w:left w:val="none" w:sz="0" w:space="0" w:color="auto"/>
            <w:bottom w:val="none" w:sz="0" w:space="0" w:color="auto"/>
            <w:right w:val="none" w:sz="0" w:space="0" w:color="auto"/>
          </w:divBdr>
        </w:div>
        <w:div w:id="807163418">
          <w:marLeft w:val="0"/>
          <w:marRight w:val="0"/>
          <w:marTop w:val="0"/>
          <w:marBottom w:val="0"/>
          <w:divBdr>
            <w:top w:val="none" w:sz="0" w:space="0" w:color="auto"/>
            <w:left w:val="none" w:sz="0" w:space="0" w:color="auto"/>
            <w:bottom w:val="none" w:sz="0" w:space="0" w:color="auto"/>
            <w:right w:val="none" w:sz="0" w:space="0" w:color="auto"/>
          </w:divBdr>
        </w:div>
        <w:div w:id="1202522862">
          <w:marLeft w:val="0"/>
          <w:marRight w:val="0"/>
          <w:marTop w:val="0"/>
          <w:marBottom w:val="0"/>
          <w:divBdr>
            <w:top w:val="none" w:sz="0" w:space="0" w:color="auto"/>
            <w:left w:val="none" w:sz="0" w:space="0" w:color="auto"/>
            <w:bottom w:val="none" w:sz="0" w:space="0" w:color="auto"/>
            <w:right w:val="none" w:sz="0" w:space="0" w:color="auto"/>
          </w:divBdr>
        </w:div>
        <w:div w:id="1255897296">
          <w:marLeft w:val="0"/>
          <w:marRight w:val="0"/>
          <w:marTop w:val="0"/>
          <w:marBottom w:val="0"/>
          <w:divBdr>
            <w:top w:val="none" w:sz="0" w:space="0" w:color="auto"/>
            <w:left w:val="none" w:sz="0" w:space="0" w:color="auto"/>
            <w:bottom w:val="none" w:sz="0" w:space="0" w:color="auto"/>
            <w:right w:val="none" w:sz="0" w:space="0" w:color="auto"/>
          </w:divBdr>
        </w:div>
        <w:div w:id="1983538305">
          <w:marLeft w:val="0"/>
          <w:marRight w:val="0"/>
          <w:marTop w:val="0"/>
          <w:marBottom w:val="0"/>
          <w:divBdr>
            <w:top w:val="none" w:sz="0" w:space="0" w:color="auto"/>
            <w:left w:val="none" w:sz="0" w:space="0" w:color="auto"/>
            <w:bottom w:val="none" w:sz="0" w:space="0" w:color="auto"/>
            <w:right w:val="none" w:sz="0" w:space="0" w:color="auto"/>
          </w:divBdr>
        </w:div>
        <w:div w:id="1200358979">
          <w:marLeft w:val="0"/>
          <w:marRight w:val="0"/>
          <w:marTop w:val="0"/>
          <w:marBottom w:val="0"/>
          <w:divBdr>
            <w:top w:val="none" w:sz="0" w:space="0" w:color="auto"/>
            <w:left w:val="none" w:sz="0" w:space="0" w:color="auto"/>
            <w:bottom w:val="none" w:sz="0" w:space="0" w:color="auto"/>
            <w:right w:val="none" w:sz="0" w:space="0" w:color="auto"/>
          </w:divBdr>
        </w:div>
        <w:div w:id="1081636887">
          <w:marLeft w:val="0"/>
          <w:marRight w:val="0"/>
          <w:marTop w:val="0"/>
          <w:marBottom w:val="0"/>
          <w:divBdr>
            <w:top w:val="none" w:sz="0" w:space="0" w:color="auto"/>
            <w:left w:val="none" w:sz="0" w:space="0" w:color="auto"/>
            <w:bottom w:val="none" w:sz="0" w:space="0" w:color="auto"/>
            <w:right w:val="none" w:sz="0" w:space="0" w:color="auto"/>
          </w:divBdr>
        </w:div>
        <w:div w:id="839545503">
          <w:marLeft w:val="0"/>
          <w:marRight w:val="0"/>
          <w:marTop w:val="0"/>
          <w:marBottom w:val="0"/>
          <w:divBdr>
            <w:top w:val="none" w:sz="0" w:space="0" w:color="auto"/>
            <w:left w:val="none" w:sz="0" w:space="0" w:color="auto"/>
            <w:bottom w:val="none" w:sz="0" w:space="0" w:color="auto"/>
            <w:right w:val="none" w:sz="0" w:space="0" w:color="auto"/>
          </w:divBdr>
        </w:div>
      </w:divsChild>
    </w:div>
    <w:div w:id="1452020099">
      <w:bodyDiv w:val="1"/>
      <w:marLeft w:val="0"/>
      <w:marRight w:val="0"/>
      <w:marTop w:val="0"/>
      <w:marBottom w:val="0"/>
      <w:divBdr>
        <w:top w:val="none" w:sz="0" w:space="0" w:color="auto"/>
        <w:left w:val="none" w:sz="0" w:space="0" w:color="auto"/>
        <w:bottom w:val="none" w:sz="0" w:space="0" w:color="auto"/>
        <w:right w:val="none" w:sz="0" w:space="0" w:color="auto"/>
      </w:divBdr>
    </w:div>
    <w:div w:id="1459376516">
      <w:bodyDiv w:val="1"/>
      <w:marLeft w:val="0"/>
      <w:marRight w:val="0"/>
      <w:marTop w:val="0"/>
      <w:marBottom w:val="0"/>
      <w:divBdr>
        <w:top w:val="none" w:sz="0" w:space="0" w:color="auto"/>
        <w:left w:val="none" w:sz="0" w:space="0" w:color="auto"/>
        <w:bottom w:val="none" w:sz="0" w:space="0" w:color="auto"/>
        <w:right w:val="none" w:sz="0" w:space="0" w:color="auto"/>
      </w:divBdr>
    </w:div>
    <w:div w:id="1526285858">
      <w:bodyDiv w:val="1"/>
      <w:marLeft w:val="0"/>
      <w:marRight w:val="0"/>
      <w:marTop w:val="0"/>
      <w:marBottom w:val="0"/>
      <w:divBdr>
        <w:top w:val="none" w:sz="0" w:space="0" w:color="auto"/>
        <w:left w:val="none" w:sz="0" w:space="0" w:color="auto"/>
        <w:bottom w:val="none" w:sz="0" w:space="0" w:color="auto"/>
        <w:right w:val="none" w:sz="0" w:space="0" w:color="auto"/>
      </w:divBdr>
    </w:div>
    <w:div w:id="1532498606">
      <w:bodyDiv w:val="1"/>
      <w:marLeft w:val="0"/>
      <w:marRight w:val="0"/>
      <w:marTop w:val="0"/>
      <w:marBottom w:val="0"/>
      <w:divBdr>
        <w:top w:val="none" w:sz="0" w:space="0" w:color="auto"/>
        <w:left w:val="none" w:sz="0" w:space="0" w:color="auto"/>
        <w:bottom w:val="none" w:sz="0" w:space="0" w:color="auto"/>
        <w:right w:val="none" w:sz="0" w:space="0" w:color="auto"/>
      </w:divBdr>
    </w:div>
    <w:div w:id="1548951980">
      <w:bodyDiv w:val="1"/>
      <w:marLeft w:val="0"/>
      <w:marRight w:val="0"/>
      <w:marTop w:val="0"/>
      <w:marBottom w:val="0"/>
      <w:divBdr>
        <w:top w:val="none" w:sz="0" w:space="0" w:color="auto"/>
        <w:left w:val="none" w:sz="0" w:space="0" w:color="auto"/>
        <w:bottom w:val="none" w:sz="0" w:space="0" w:color="auto"/>
        <w:right w:val="none" w:sz="0" w:space="0" w:color="auto"/>
      </w:divBdr>
    </w:div>
    <w:div w:id="1553925214">
      <w:bodyDiv w:val="1"/>
      <w:marLeft w:val="0"/>
      <w:marRight w:val="0"/>
      <w:marTop w:val="0"/>
      <w:marBottom w:val="0"/>
      <w:divBdr>
        <w:top w:val="none" w:sz="0" w:space="0" w:color="auto"/>
        <w:left w:val="none" w:sz="0" w:space="0" w:color="auto"/>
        <w:bottom w:val="none" w:sz="0" w:space="0" w:color="auto"/>
        <w:right w:val="none" w:sz="0" w:space="0" w:color="auto"/>
      </w:divBdr>
    </w:div>
    <w:div w:id="1579365768">
      <w:bodyDiv w:val="1"/>
      <w:marLeft w:val="0"/>
      <w:marRight w:val="0"/>
      <w:marTop w:val="0"/>
      <w:marBottom w:val="0"/>
      <w:divBdr>
        <w:top w:val="none" w:sz="0" w:space="0" w:color="auto"/>
        <w:left w:val="none" w:sz="0" w:space="0" w:color="auto"/>
        <w:bottom w:val="none" w:sz="0" w:space="0" w:color="auto"/>
        <w:right w:val="none" w:sz="0" w:space="0" w:color="auto"/>
      </w:divBdr>
    </w:div>
    <w:div w:id="1584147320">
      <w:bodyDiv w:val="1"/>
      <w:marLeft w:val="0"/>
      <w:marRight w:val="0"/>
      <w:marTop w:val="0"/>
      <w:marBottom w:val="0"/>
      <w:divBdr>
        <w:top w:val="none" w:sz="0" w:space="0" w:color="auto"/>
        <w:left w:val="none" w:sz="0" w:space="0" w:color="auto"/>
        <w:bottom w:val="none" w:sz="0" w:space="0" w:color="auto"/>
        <w:right w:val="none" w:sz="0" w:space="0" w:color="auto"/>
      </w:divBdr>
    </w:div>
    <w:div w:id="1584602933">
      <w:bodyDiv w:val="1"/>
      <w:marLeft w:val="0"/>
      <w:marRight w:val="0"/>
      <w:marTop w:val="0"/>
      <w:marBottom w:val="0"/>
      <w:divBdr>
        <w:top w:val="none" w:sz="0" w:space="0" w:color="auto"/>
        <w:left w:val="none" w:sz="0" w:space="0" w:color="auto"/>
        <w:bottom w:val="none" w:sz="0" w:space="0" w:color="auto"/>
        <w:right w:val="none" w:sz="0" w:space="0" w:color="auto"/>
      </w:divBdr>
    </w:div>
    <w:div w:id="1591043205">
      <w:bodyDiv w:val="1"/>
      <w:marLeft w:val="0"/>
      <w:marRight w:val="0"/>
      <w:marTop w:val="0"/>
      <w:marBottom w:val="0"/>
      <w:divBdr>
        <w:top w:val="none" w:sz="0" w:space="0" w:color="auto"/>
        <w:left w:val="none" w:sz="0" w:space="0" w:color="auto"/>
        <w:bottom w:val="none" w:sz="0" w:space="0" w:color="auto"/>
        <w:right w:val="none" w:sz="0" w:space="0" w:color="auto"/>
      </w:divBdr>
    </w:div>
    <w:div w:id="1595823358">
      <w:bodyDiv w:val="1"/>
      <w:marLeft w:val="0"/>
      <w:marRight w:val="0"/>
      <w:marTop w:val="0"/>
      <w:marBottom w:val="0"/>
      <w:divBdr>
        <w:top w:val="none" w:sz="0" w:space="0" w:color="auto"/>
        <w:left w:val="none" w:sz="0" w:space="0" w:color="auto"/>
        <w:bottom w:val="none" w:sz="0" w:space="0" w:color="auto"/>
        <w:right w:val="none" w:sz="0" w:space="0" w:color="auto"/>
      </w:divBdr>
    </w:div>
    <w:div w:id="1598438418">
      <w:bodyDiv w:val="1"/>
      <w:marLeft w:val="0"/>
      <w:marRight w:val="0"/>
      <w:marTop w:val="0"/>
      <w:marBottom w:val="0"/>
      <w:divBdr>
        <w:top w:val="none" w:sz="0" w:space="0" w:color="auto"/>
        <w:left w:val="none" w:sz="0" w:space="0" w:color="auto"/>
        <w:bottom w:val="none" w:sz="0" w:space="0" w:color="auto"/>
        <w:right w:val="none" w:sz="0" w:space="0" w:color="auto"/>
      </w:divBdr>
    </w:div>
    <w:div w:id="1605459703">
      <w:bodyDiv w:val="1"/>
      <w:marLeft w:val="0"/>
      <w:marRight w:val="0"/>
      <w:marTop w:val="0"/>
      <w:marBottom w:val="0"/>
      <w:divBdr>
        <w:top w:val="none" w:sz="0" w:space="0" w:color="auto"/>
        <w:left w:val="none" w:sz="0" w:space="0" w:color="auto"/>
        <w:bottom w:val="none" w:sz="0" w:space="0" w:color="auto"/>
        <w:right w:val="none" w:sz="0" w:space="0" w:color="auto"/>
      </w:divBdr>
    </w:div>
    <w:div w:id="1605922275">
      <w:bodyDiv w:val="1"/>
      <w:marLeft w:val="0"/>
      <w:marRight w:val="0"/>
      <w:marTop w:val="0"/>
      <w:marBottom w:val="0"/>
      <w:divBdr>
        <w:top w:val="none" w:sz="0" w:space="0" w:color="auto"/>
        <w:left w:val="none" w:sz="0" w:space="0" w:color="auto"/>
        <w:bottom w:val="none" w:sz="0" w:space="0" w:color="auto"/>
        <w:right w:val="none" w:sz="0" w:space="0" w:color="auto"/>
      </w:divBdr>
    </w:div>
    <w:div w:id="1610116714">
      <w:bodyDiv w:val="1"/>
      <w:marLeft w:val="0"/>
      <w:marRight w:val="0"/>
      <w:marTop w:val="0"/>
      <w:marBottom w:val="0"/>
      <w:divBdr>
        <w:top w:val="none" w:sz="0" w:space="0" w:color="auto"/>
        <w:left w:val="none" w:sz="0" w:space="0" w:color="auto"/>
        <w:bottom w:val="none" w:sz="0" w:space="0" w:color="auto"/>
        <w:right w:val="none" w:sz="0" w:space="0" w:color="auto"/>
      </w:divBdr>
    </w:div>
    <w:div w:id="1625310909">
      <w:bodyDiv w:val="1"/>
      <w:marLeft w:val="0"/>
      <w:marRight w:val="0"/>
      <w:marTop w:val="0"/>
      <w:marBottom w:val="0"/>
      <w:divBdr>
        <w:top w:val="none" w:sz="0" w:space="0" w:color="auto"/>
        <w:left w:val="none" w:sz="0" w:space="0" w:color="auto"/>
        <w:bottom w:val="none" w:sz="0" w:space="0" w:color="auto"/>
        <w:right w:val="none" w:sz="0" w:space="0" w:color="auto"/>
      </w:divBdr>
    </w:div>
    <w:div w:id="1631738562">
      <w:bodyDiv w:val="1"/>
      <w:marLeft w:val="0"/>
      <w:marRight w:val="0"/>
      <w:marTop w:val="0"/>
      <w:marBottom w:val="0"/>
      <w:divBdr>
        <w:top w:val="none" w:sz="0" w:space="0" w:color="auto"/>
        <w:left w:val="none" w:sz="0" w:space="0" w:color="auto"/>
        <w:bottom w:val="none" w:sz="0" w:space="0" w:color="auto"/>
        <w:right w:val="none" w:sz="0" w:space="0" w:color="auto"/>
      </w:divBdr>
    </w:div>
    <w:div w:id="1644118529">
      <w:bodyDiv w:val="1"/>
      <w:marLeft w:val="0"/>
      <w:marRight w:val="0"/>
      <w:marTop w:val="0"/>
      <w:marBottom w:val="0"/>
      <w:divBdr>
        <w:top w:val="none" w:sz="0" w:space="0" w:color="auto"/>
        <w:left w:val="none" w:sz="0" w:space="0" w:color="auto"/>
        <w:bottom w:val="none" w:sz="0" w:space="0" w:color="auto"/>
        <w:right w:val="none" w:sz="0" w:space="0" w:color="auto"/>
      </w:divBdr>
      <w:divsChild>
        <w:div w:id="793905935">
          <w:marLeft w:val="274"/>
          <w:marRight w:val="0"/>
          <w:marTop w:val="0"/>
          <w:marBottom w:val="0"/>
          <w:divBdr>
            <w:top w:val="none" w:sz="0" w:space="0" w:color="auto"/>
            <w:left w:val="none" w:sz="0" w:space="0" w:color="auto"/>
            <w:bottom w:val="none" w:sz="0" w:space="0" w:color="auto"/>
            <w:right w:val="none" w:sz="0" w:space="0" w:color="auto"/>
          </w:divBdr>
        </w:div>
        <w:div w:id="1268928590">
          <w:marLeft w:val="274"/>
          <w:marRight w:val="0"/>
          <w:marTop w:val="0"/>
          <w:marBottom w:val="0"/>
          <w:divBdr>
            <w:top w:val="none" w:sz="0" w:space="0" w:color="auto"/>
            <w:left w:val="none" w:sz="0" w:space="0" w:color="auto"/>
            <w:bottom w:val="none" w:sz="0" w:space="0" w:color="auto"/>
            <w:right w:val="none" w:sz="0" w:space="0" w:color="auto"/>
          </w:divBdr>
        </w:div>
        <w:div w:id="1431124023">
          <w:marLeft w:val="274"/>
          <w:marRight w:val="0"/>
          <w:marTop w:val="0"/>
          <w:marBottom w:val="0"/>
          <w:divBdr>
            <w:top w:val="none" w:sz="0" w:space="0" w:color="auto"/>
            <w:left w:val="none" w:sz="0" w:space="0" w:color="auto"/>
            <w:bottom w:val="none" w:sz="0" w:space="0" w:color="auto"/>
            <w:right w:val="none" w:sz="0" w:space="0" w:color="auto"/>
          </w:divBdr>
        </w:div>
        <w:div w:id="1491293593">
          <w:marLeft w:val="274"/>
          <w:marRight w:val="0"/>
          <w:marTop w:val="0"/>
          <w:marBottom w:val="0"/>
          <w:divBdr>
            <w:top w:val="none" w:sz="0" w:space="0" w:color="auto"/>
            <w:left w:val="none" w:sz="0" w:space="0" w:color="auto"/>
            <w:bottom w:val="none" w:sz="0" w:space="0" w:color="auto"/>
            <w:right w:val="none" w:sz="0" w:space="0" w:color="auto"/>
          </w:divBdr>
        </w:div>
      </w:divsChild>
    </w:div>
    <w:div w:id="1645239464">
      <w:bodyDiv w:val="1"/>
      <w:marLeft w:val="0"/>
      <w:marRight w:val="0"/>
      <w:marTop w:val="0"/>
      <w:marBottom w:val="0"/>
      <w:divBdr>
        <w:top w:val="none" w:sz="0" w:space="0" w:color="auto"/>
        <w:left w:val="none" w:sz="0" w:space="0" w:color="auto"/>
        <w:bottom w:val="none" w:sz="0" w:space="0" w:color="auto"/>
        <w:right w:val="none" w:sz="0" w:space="0" w:color="auto"/>
      </w:divBdr>
    </w:div>
    <w:div w:id="1678072498">
      <w:bodyDiv w:val="1"/>
      <w:marLeft w:val="0"/>
      <w:marRight w:val="0"/>
      <w:marTop w:val="0"/>
      <w:marBottom w:val="0"/>
      <w:divBdr>
        <w:top w:val="none" w:sz="0" w:space="0" w:color="auto"/>
        <w:left w:val="none" w:sz="0" w:space="0" w:color="auto"/>
        <w:bottom w:val="none" w:sz="0" w:space="0" w:color="auto"/>
        <w:right w:val="none" w:sz="0" w:space="0" w:color="auto"/>
      </w:divBdr>
    </w:div>
    <w:div w:id="1679229910">
      <w:bodyDiv w:val="1"/>
      <w:marLeft w:val="0"/>
      <w:marRight w:val="0"/>
      <w:marTop w:val="0"/>
      <w:marBottom w:val="0"/>
      <w:divBdr>
        <w:top w:val="none" w:sz="0" w:space="0" w:color="auto"/>
        <w:left w:val="none" w:sz="0" w:space="0" w:color="auto"/>
        <w:bottom w:val="none" w:sz="0" w:space="0" w:color="auto"/>
        <w:right w:val="none" w:sz="0" w:space="0" w:color="auto"/>
      </w:divBdr>
    </w:div>
    <w:div w:id="1756322894">
      <w:bodyDiv w:val="1"/>
      <w:marLeft w:val="0"/>
      <w:marRight w:val="0"/>
      <w:marTop w:val="0"/>
      <w:marBottom w:val="0"/>
      <w:divBdr>
        <w:top w:val="none" w:sz="0" w:space="0" w:color="auto"/>
        <w:left w:val="none" w:sz="0" w:space="0" w:color="auto"/>
        <w:bottom w:val="none" w:sz="0" w:space="0" w:color="auto"/>
        <w:right w:val="none" w:sz="0" w:space="0" w:color="auto"/>
      </w:divBdr>
    </w:div>
    <w:div w:id="1760057848">
      <w:bodyDiv w:val="1"/>
      <w:marLeft w:val="0"/>
      <w:marRight w:val="0"/>
      <w:marTop w:val="0"/>
      <w:marBottom w:val="0"/>
      <w:divBdr>
        <w:top w:val="none" w:sz="0" w:space="0" w:color="auto"/>
        <w:left w:val="none" w:sz="0" w:space="0" w:color="auto"/>
        <w:bottom w:val="none" w:sz="0" w:space="0" w:color="auto"/>
        <w:right w:val="none" w:sz="0" w:space="0" w:color="auto"/>
      </w:divBdr>
      <w:divsChild>
        <w:div w:id="502161768">
          <w:marLeft w:val="274"/>
          <w:marRight w:val="0"/>
          <w:marTop w:val="0"/>
          <w:marBottom w:val="0"/>
          <w:divBdr>
            <w:top w:val="none" w:sz="0" w:space="0" w:color="auto"/>
            <w:left w:val="none" w:sz="0" w:space="0" w:color="auto"/>
            <w:bottom w:val="none" w:sz="0" w:space="0" w:color="auto"/>
            <w:right w:val="none" w:sz="0" w:space="0" w:color="auto"/>
          </w:divBdr>
        </w:div>
        <w:div w:id="581572423">
          <w:marLeft w:val="274"/>
          <w:marRight w:val="0"/>
          <w:marTop w:val="0"/>
          <w:marBottom w:val="0"/>
          <w:divBdr>
            <w:top w:val="none" w:sz="0" w:space="0" w:color="auto"/>
            <w:left w:val="none" w:sz="0" w:space="0" w:color="auto"/>
            <w:bottom w:val="none" w:sz="0" w:space="0" w:color="auto"/>
            <w:right w:val="none" w:sz="0" w:space="0" w:color="auto"/>
          </w:divBdr>
        </w:div>
      </w:divsChild>
    </w:div>
    <w:div w:id="1762287457">
      <w:bodyDiv w:val="1"/>
      <w:marLeft w:val="0"/>
      <w:marRight w:val="0"/>
      <w:marTop w:val="0"/>
      <w:marBottom w:val="0"/>
      <w:divBdr>
        <w:top w:val="none" w:sz="0" w:space="0" w:color="auto"/>
        <w:left w:val="none" w:sz="0" w:space="0" w:color="auto"/>
        <w:bottom w:val="none" w:sz="0" w:space="0" w:color="auto"/>
        <w:right w:val="none" w:sz="0" w:space="0" w:color="auto"/>
      </w:divBdr>
    </w:div>
    <w:div w:id="1775049085">
      <w:bodyDiv w:val="1"/>
      <w:marLeft w:val="0"/>
      <w:marRight w:val="0"/>
      <w:marTop w:val="0"/>
      <w:marBottom w:val="0"/>
      <w:divBdr>
        <w:top w:val="none" w:sz="0" w:space="0" w:color="auto"/>
        <w:left w:val="none" w:sz="0" w:space="0" w:color="auto"/>
        <w:bottom w:val="none" w:sz="0" w:space="0" w:color="auto"/>
        <w:right w:val="none" w:sz="0" w:space="0" w:color="auto"/>
      </w:divBdr>
    </w:div>
    <w:div w:id="1795322754">
      <w:bodyDiv w:val="1"/>
      <w:marLeft w:val="0"/>
      <w:marRight w:val="0"/>
      <w:marTop w:val="0"/>
      <w:marBottom w:val="0"/>
      <w:divBdr>
        <w:top w:val="none" w:sz="0" w:space="0" w:color="auto"/>
        <w:left w:val="none" w:sz="0" w:space="0" w:color="auto"/>
        <w:bottom w:val="none" w:sz="0" w:space="0" w:color="auto"/>
        <w:right w:val="none" w:sz="0" w:space="0" w:color="auto"/>
      </w:divBdr>
      <w:divsChild>
        <w:div w:id="1988897928">
          <w:marLeft w:val="0"/>
          <w:marRight w:val="0"/>
          <w:marTop w:val="0"/>
          <w:marBottom w:val="0"/>
          <w:divBdr>
            <w:top w:val="none" w:sz="0" w:space="0" w:color="auto"/>
            <w:left w:val="none" w:sz="0" w:space="0" w:color="auto"/>
            <w:bottom w:val="none" w:sz="0" w:space="0" w:color="auto"/>
            <w:right w:val="none" w:sz="0" w:space="0" w:color="auto"/>
          </w:divBdr>
          <w:divsChild>
            <w:div w:id="1653605309">
              <w:marLeft w:val="0"/>
              <w:marRight w:val="0"/>
              <w:marTop w:val="0"/>
              <w:marBottom w:val="0"/>
              <w:divBdr>
                <w:top w:val="none" w:sz="0" w:space="0" w:color="auto"/>
                <w:left w:val="none" w:sz="0" w:space="0" w:color="auto"/>
                <w:bottom w:val="none" w:sz="0" w:space="0" w:color="auto"/>
                <w:right w:val="none" w:sz="0" w:space="0" w:color="auto"/>
              </w:divBdr>
              <w:divsChild>
                <w:div w:id="1716731684">
                  <w:marLeft w:val="0"/>
                  <w:marRight w:val="0"/>
                  <w:marTop w:val="0"/>
                  <w:marBottom w:val="0"/>
                  <w:divBdr>
                    <w:top w:val="none" w:sz="0" w:space="0" w:color="auto"/>
                    <w:left w:val="none" w:sz="0" w:space="0" w:color="auto"/>
                    <w:bottom w:val="none" w:sz="0" w:space="0" w:color="auto"/>
                    <w:right w:val="none" w:sz="0" w:space="0" w:color="auto"/>
                  </w:divBdr>
                  <w:divsChild>
                    <w:div w:id="1291596132">
                      <w:marLeft w:val="0"/>
                      <w:marRight w:val="0"/>
                      <w:marTop w:val="0"/>
                      <w:marBottom w:val="0"/>
                      <w:divBdr>
                        <w:top w:val="none" w:sz="0" w:space="0" w:color="auto"/>
                        <w:left w:val="none" w:sz="0" w:space="0" w:color="auto"/>
                        <w:bottom w:val="none" w:sz="0" w:space="0" w:color="auto"/>
                        <w:right w:val="none" w:sz="0" w:space="0" w:color="auto"/>
                      </w:divBdr>
                      <w:divsChild>
                        <w:div w:id="1475176521">
                          <w:marLeft w:val="0"/>
                          <w:marRight w:val="0"/>
                          <w:marTop w:val="0"/>
                          <w:marBottom w:val="0"/>
                          <w:divBdr>
                            <w:top w:val="none" w:sz="0" w:space="0" w:color="auto"/>
                            <w:left w:val="none" w:sz="0" w:space="0" w:color="auto"/>
                            <w:bottom w:val="none" w:sz="0" w:space="0" w:color="auto"/>
                            <w:right w:val="none" w:sz="0" w:space="0" w:color="auto"/>
                          </w:divBdr>
                          <w:divsChild>
                            <w:div w:id="302390349">
                              <w:marLeft w:val="0"/>
                              <w:marRight w:val="0"/>
                              <w:marTop w:val="0"/>
                              <w:marBottom w:val="0"/>
                              <w:divBdr>
                                <w:top w:val="none" w:sz="0" w:space="0" w:color="auto"/>
                                <w:left w:val="none" w:sz="0" w:space="0" w:color="auto"/>
                                <w:bottom w:val="none" w:sz="0" w:space="0" w:color="auto"/>
                                <w:right w:val="none" w:sz="0" w:space="0" w:color="auto"/>
                              </w:divBdr>
                              <w:divsChild>
                                <w:div w:id="556625705">
                                  <w:marLeft w:val="0"/>
                                  <w:marRight w:val="0"/>
                                  <w:marTop w:val="0"/>
                                  <w:marBottom w:val="0"/>
                                  <w:divBdr>
                                    <w:top w:val="none" w:sz="0" w:space="0" w:color="auto"/>
                                    <w:left w:val="none" w:sz="0" w:space="0" w:color="auto"/>
                                    <w:bottom w:val="none" w:sz="0" w:space="0" w:color="auto"/>
                                    <w:right w:val="none" w:sz="0" w:space="0" w:color="auto"/>
                                  </w:divBdr>
                                  <w:divsChild>
                                    <w:div w:id="414017340">
                                      <w:marLeft w:val="0"/>
                                      <w:marRight w:val="0"/>
                                      <w:marTop w:val="0"/>
                                      <w:marBottom w:val="0"/>
                                      <w:divBdr>
                                        <w:top w:val="none" w:sz="0" w:space="0" w:color="auto"/>
                                        <w:left w:val="none" w:sz="0" w:space="0" w:color="auto"/>
                                        <w:bottom w:val="none" w:sz="0" w:space="0" w:color="auto"/>
                                        <w:right w:val="none" w:sz="0" w:space="0" w:color="auto"/>
                                      </w:divBdr>
                                      <w:divsChild>
                                        <w:div w:id="1497306457">
                                          <w:marLeft w:val="0"/>
                                          <w:marRight w:val="0"/>
                                          <w:marTop w:val="0"/>
                                          <w:marBottom w:val="0"/>
                                          <w:divBdr>
                                            <w:top w:val="none" w:sz="0" w:space="0" w:color="auto"/>
                                            <w:left w:val="none" w:sz="0" w:space="0" w:color="auto"/>
                                            <w:bottom w:val="none" w:sz="0" w:space="0" w:color="auto"/>
                                            <w:right w:val="none" w:sz="0" w:space="0" w:color="auto"/>
                                          </w:divBdr>
                                          <w:divsChild>
                                            <w:div w:id="1839809029">
                                              <w:marLeft w:val="0"/>
                                              <w:marRight w:val="0"/>
                                              <w:marTop w:val="0"/>
                                              <w:marBottom w:val="0"/>
                                              <w:divBdr>
                                                <w:top w:val="none" w:sz="0" w:space="0" w:color="auto"/>
                                                <w:left w:val="none" w:sz="0" w:space="0" w:color="auto"/>
                                                <w:bottom w:val="none" w:sz="0" w:space="0" w:color="auto"/>
                                                <w:right w:val="none" w:sz="0" w:space="0" w:color="auto"/>
                                              </w:divBdr>
                                              <w:divsChild>
                                                <w:div w:id="1407193829">
                                                  <w:marLeft w:val="0"/>
                                                  <w:marRight w:val="0"/>
                                                  <w:marTop w:val="0"/>
                                                  <w:marBottom w:val="0"/>
                                                  <w:divBdr>
                                                    <w:top w:val="none" w:sz="0" w:space="0" w:color="auto"/>
                                                    <w:left w:val="none" w:sz="0" w:space="0" w:color="auto"/>
                                                    <w:bottom w:val="none" w:sz="0" w:space="0" w:color="auto"/>
                                                    <w:right w:val="none" w:sz="0" w:space="0" w:color="auto"/>
                                                  </w:divBdr>
                                                  <w:divsChild>
                                                    <w:div w:id="918949080">
                                                      <w:marLeft w:val="0"/>
                                                      <w:marRight w:val="0"/>
                                                      <w:marTop w:val="0"/>
                                                      <w:marBottom w:val="0"/>
                                                      <w:divBdr>
                                                        <w:top w:val="none" w:sz="0" w:space="0" w:color="auto"/>
                                                        <w:left w:val="none" w:sz="0" w:space="0" w:color="auto"/>
                                                        <w:bottom w:val="none" w:sz="0" w:space="0" w:color="auto"/>
                                                        <w:right w:val="none" w:sz="0" w:space="0" w:color="auto"/>
                                                      </w:divBdr>
                                                      <w:divsChild>
                                                        <w:div w:id="1077704850">
                                                          <w:marLeft w:val="0"/>
                                                          <w:marRight w:val="0"/>
                                                          <w:marTop w:val="0"/>
                                                          <w:marBottom w:val="0"/>
                                                          <w:divBdr>
                                                            <w:top w:val="none" w:sz="0" w:space="0" w:color="auto"/>
                                                            <w:left w:val="none" w:sz="0" w:space="0" w:color="auto"/>
                                                            <w:bottom w:val="none" w:sz="0" w:space="0" w:color="auto"/>
                                                            <w:right w:val="none" w:sz="0" w:space="0" w:color="auto"/>
                                                          </w:divBdr>
                                                          <w:divsChild>
                                                            <w:div w:id="358547861">
                                                              <w:marLeft w:val="0"/>
                                                              <w:marRight w:val="0"/>
                                                              <w:marTop w:val="0"/>
                                                              <w:marBottom w:val="0"/>
                                                              <w:divBdr>
                                                                <w:top w:val="none" w:sz="0" w:space="0" w:color="auto"/>
                                                                <w:left w:val="none" w:sz="0" w:space="0" w:color="auto"/>
                                                                <w:bottom w:val="none" w:sz="0" w:space="0" w:color="auto"/>
                                                                <w:right w:val="none" w:sz="0" w:space="0" w:color="auto"/>
                                                              </w:divBdr>
                                                              <w:divsChild>
                                                                <w:div w:id="442042019">
                                                                  <w:marLeft w:val="0"/>
                                                                  <w:marRight w:val="0"/>
                                                                  <w:marTop w:val="0"/>
                                                                  <w:marBottom w:val="0"/>
                                                                  <w:divBdr>
                                                                    <w:top w:val="none" w:sz="0" w:space="0" w:color="auto"/>
                                                                    <w:left w:val="none" w:sz="0" w:space="0" w:color="auto"/>
                                                                    <w:bottom w:val="none" w:sz="0" w:space="0" w:color="auto"/>
                                                                    <w:right w:val="none" w:sz="0" w:space="0" w:color="auto"/>
                                                                  </w:divBdr>
                                                                  <w:divsChild>
                                                                    <w:div w:id="629743809">
                                                                      <w:marLeft w:val="0"/>
                                                                      <w:marRight w:val="0"/>
                                                                      <w:marTop w:val="0"/>
                                                                      <w:marBottom w:val="0"/>
                                                                      <w:divBdr>
                                                                        <w:top w:val="none" w:sz="0" w:space="0" w:color="auto"/>
                                                                        <w:left w:val="none" w:sz="0" w:space="0" w:color="auto"/>
                                                                        <w:bottom w:val="none" w:sz="0" w:space="0" w:color="auto"/>
                                                                        <w:right w:val="none" w:sz="0" w:space="0" w:color="auto"/>
                                                                      </w:divBdr>
                                                                      <w:divsChild>
                                                                        <w:div w:id="2027973373">
                                                                          <w:marLeft w:val="0"/>
                                                                          <w:marRight w:val="0"/>
                                                                          <w:marTop w:val="0"/>
                                                                          <w:marBottom w:val="0"/>
                                                                          <w:divBdr>
                                                                            <w:top w:val="none" w:sz="0" w:space="0" w:color="auto"/>
                                                                            <w:left w:val="none" w:sz="0" w:space="0" w:color="auto"/>
                                                                            <w:bottom w:val="none" w:sz="0" w:space="0" w:color="auto"/>
                                                                            <w:right w:val="none" w:sz="0" w:space="0" w:color="auto"/>
                                                                          </w:divBdr>
                                                                          <w:divsChild>
                                                                            <w:div w:id="2129397944">
                                                                              <w:marLeft w:val="0"/>
                                                                              <w:marRight w:val="0"/>
                                                                              <w:marTop w:val="0"/>
                                                                              <w:marBottom w:val="0"/>
                                                                              <w:divBdr>
                                                                                <w:top w:val="none" w:sz="0" w:space="0" w:color="auto"/>
                                                                                <w:left w:val="none" w:sz="0" w:space="0" w:color="auto"/>
                                                                                <w:bottom w:val="none" w:sz="0" w:space="0" w:color="auto"/>
                                                                                <w:right w:val="none" w:sz="0" w:space="0" w:color="auto"/>
                                                                              </w:divBdr>
                                                                              <w:divsChild>
                                                                                <w:div w:id="8963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358993">
      <w:bodyDiv w:val="1"/>
      <w:marLeft w:val="0"/>
      <w:marRight w:val="0"/>
      <w:marTop w:val="0"/>
      <w:marBottom w:val="0"/>
      <w:divBdr>
        <w:top w:val="none" w:sz="0" w:space="0" w:color="auto"/>
        <w:left w:val="none" w:sz="0" w:space="0" w:color="auto"/>
        <w:bottom w:val="none" w:sz="0" w:space="0" w:color="auto"/>
        <w:right w:val="none" w:sz="0" w:space="0" w:color="auto"/>
      </w:divBdr>
    </w:div>
    <w:div w:id="1861235596">
      <w:bodyDiv w:val="1"/>
      <w:marLeft w:val="0"/>
      <w:marRight w:val="0"/>
      <w:marTop w:val="0"/>
      <w:marBottom w:val="0"/>
      <w:divBdr>
        <w:top w:val="none" w:sz="0" w:space="0" w:color="auto"/>
        <w:left w:val="none" w:sz="0" w:space="0" w:color="auto"/>
        <w:bottom w:val="none" w:sz="0" w:space="0" w:color="auto"/>
        <w:right w:val="none" w:sz="0" w:space="0" w:color="auto"/>
      </w:divBdr>
    </w:div>
    <w:div w:id="1875463646">
      <w:bodyDiv w:val="1"/>
      <w:marLeft w:val="0"/>
      <w:marRight w:val="0"/>
      <w:marTop w:val="0"/>
      <w:marBottom w:val="0"/>
      <w:divBdr>
        <w:top w:val="none" w:sz="0" w:space="0" w:color="auto"/>
        <w:left w:val="none" w:sz="0" w:space="0" w:color="auto"/>
        <w:bottom w:val="none" w:sz="0" w:space="0" w:color="auto"/>
        <w:right w:val="none" w:sz="0" w:space="0" w:color="auto"/>
      </w:divBdr>
    </w:div>
    <w:div w:id="1878159603">
      <w:bodyDiv w:val="1"/>
      <w:marLeft w:val="0"/>
      <w:marRight w:val="0"/>
      <w:marTop w:val="0"/>
      <w:marBottom w:val="0"/>
      <w:divBdr>
        <w:top w:val="none" w:sz="0" w:space="0" w:color="auto"/>
        <w:left w:val="none" w:sz="0" w:space="0" w:color="auto"/>
        <w:bottom w:val="none" w:sz="0" w:space="0" w:color="auto"/>
        <w:right w:val="none" w:sz="0" w:space="0" w:color="auto"/>
      </w:divBdr>
    </w:div>
    <w:div w:id="1879318413">
      <w:bodyDiv w:val="1"/>
      <w:marLeft w:val="0"/>
      <w:marRight w:val="0"/>
      <w:marTop w:val="0"/>
      <w:marBottom w:val="0"/>
      <w:divBdr>
        <w:top w:val="none" w:sz="0" w:space="0" w:color="auto"/>
        <w:left w:val="none" w:sz="0" w:space="0" w:color="auto"/>
        <w:bottom w:val="none" w:sz="0" w:space="0" w:color="auto"/>
        <w:right w:val="none" w:sz="0" w:space="0" w:color="auto"/>
      </w:divBdr>
    </w:div>
    <w:div w:id="1886477726">
      <w:bodyDiv w:val="1"/>
      <w:marLeft w:val="0"/>
      <w:marRight w:val="0"/>
      <w:marTop w:val="0"/>
      <w:marBottom w:val="0"/>
      <w:divBdr>
        <w:top w:val="none" w:sz="0" w:space="0" w:color="auto"/>
        <w:left w:val="none" w:sz="0" w:space="0" w:color="auto"/>
        <w:bottom w:val="none" w:sz="0" w:space="0" w:color="auto"/>
        <w:right w:val="none" w:sz="0" w:space="0" w:color="auto"/>
      </w:divBdr>
    </w:div>
    <w:div w:id="1892886159">
      <w:bodyDiv w:val="1"/>
      <w:marLeft w:val="0"/>
      <w:marRight w:val="0"/>
      <w:marTop w:val="0"/>
      <w:marBottom w:val="0"/>
      <w:divBdr>
        <w:top w:val="none" w:sz="0" w:space="0" w:color="auto"/>
        <w:left w:val="none" w:sz="0" w:space="0" w:color="auto"/>
        <w:bottom w:val="none" w:sz="0" w:space="0" w:color="auto"/>
        <w:right w:val="none" w:sz="0" w:space="0" w:color="auto"/>
      </w:divBdr>
    </w:div>
    <w:div w:id="1924411248">
      <w:bodyDiv w:val="1"/>
      <w:marLeft w:val="0"/>
      <w:marRight w:val="0"/>
      <w:marTop w:val="0"/>
      <w:marBottom w:val="0"/>
      <w:divBdr>
        <w:top w:val="none" w:sz="0" w:space="0" w:color="auto"/>
        <w:left w:val="none" w:sz="0" w:space="0" w:color="auto"/>
        <w:bottom w:val="none" w:sz="0" w:space="0" w:color="auto"/>
        <w:right w:val="none" w:sz="0" w:space="0" w:color="auto"/>
      </w:divBdr>
    </w:div>
    <w:div w:id="1936858568">
      <w:bodyDiv w:val="1"/>
      <w:marLeft w:val="0"/>
      <w:marRight w:val="0"/>
      <w:marTop w:val="0"/>
      <w:marBottom w:val="0"/>
      <w:divBdr>
        <w:top w:val="none" w:sz="0" w:space="0" w:color="auto"/>
        <w:left w:val="none" w:sz="0" w:space="0" w:color="auto"/>
        <w:bottom w:val="none" w:sz="0" w:space="0" w:color="auto"/>
        <w:right w:val="none" w:sz="0" w:space="0" w:color="auto"/>
      </w:divBdr>
    </w:div>
    <w:div w:id="1948611549">
      <w:bodyDiv w:val="1"/>
      <w:marLeft w:val="0"/>
      <w:marRight w:val="0"/>
      <w:marTop w:val="0"/>
      <w:marBottom w:val="0"/>
      <w:divBdr>
        <w:top w:val="none" w:sz="0" w:space="0" w:color="auto"/>
        <w:left w:val="none" w:sz="0" w:space="0" w:color="auto"/>
        <w:bottom w:val="none" w:sz="0" w:space="0" w:color="auto"/>
        <w:right w:val="none" w:sz="0" w:space="0" w:color="auto"/>
      </w:divBdr>
    </w:div>
    <w:div w:id="1957250998">
      <w:bodyDiv w:val="1"/>
      <w:marLeft w:val="0"/>
      <w:marRight w:val="0"/>
      <w:marTop w:val="0"/>
      <w:marBottom w:val="0"/>
      <w:divBdr>
        <w:top w:val="none" w:sz="0" w:space="0" w:color="auto"/>
        <w:left w:val="none" w:sz="0" w:space="0" w:color="auto"/>
        <w:bottom w:val="none" w:sz="0" w:space="0" w:color="auto"/>
        <w:right w:val="none" w:sz="0" w:space="0" w:color="auto"/>
      </w:divBdr>
    </w:div>
    <w:div w:id="1969820731">
      <w:bodyDiv w:val="1"/>
      <w:marLeft w:val="0"/>
      <w:marRight w:val="0"/>
      <w:marTop w:val="0"/>
      <w:marBottom w:val="0"/>
      <w:divBdr>
        <w:top w:val="none" w:sz="0" w:space="0" w:color="auto"/>
        <w:left w:val="none" w:sz="0" w:space="0" w:color="auto"/>
        <w:bottom w:val="none" w:sz="0" w:space="0" w:color="auto"/>
        <w:right w:val="none" w:sz="0" w:space="0" w:color="auto"/>
      </w:divBdr>
    </w:div>
    <w:div w:id="1982150223">
      <w:bodyDiv w:val="1"/>
      <w:marLeft w:val="0"/>
      <w:marRight w:val="0"/>
      <w:marTop w:val="0"/>
      <w:marBottom w:val="0"/>
      <w:divBdr>
        <w:top w:val="none" w:sz="0" w:space="0" w:color="auto"/>
        <w:left w:val="none" w:sz="0" w:space="0" w:color="auto"/>
        <w:bottom w:val="none" w:sz="0" w:space="0" w:color="auto"/>
        <w:right w:val="none" w:sz="0" w:space="0" w:color="auto"/>
      </w:divBdr>
    </w:div>
    <w:div w:id="1994527434">
      <w:bodyDiv w:val="1"/>
      <w:marLeft w:val="0"/>
      <w:marRight w:val="0"/>
      <w:marTop w:val="0"/>
      <w:marBottom w:val="0"/>
      <w:divBdr>
        <w:top w:val="none" w:sz="0" w:space="0" w:color="auto"/>
        <w:left w:val="none" w:sz="0" w:space="0" w:color="auto"/>
        <w:bottom w:val="none" w:sz="0" w:space="0" w:color="auto"/>
        <w:right w:val="none" w:sz="0" w:space="0" w:color="auto"/>
      </w:divBdr>
    </w:div>
    <w:div w:id="1998460222">
      <w:bodyDiv w:val="1"/>
      <w:marLeft w:val="0"/>
      <w:marRight w:val="0"/>
      <w:marTop w:val="0"/>
      <w:marBottom w:val="0"/>
      <w:divBdr>
        <w:top w:val="none" w:sz="0" w:space="0" w:color="auto"/>
        <w:left w:val="none" w:sz="0" w:space="0" w:color="auto"/>
        <w:bottom w:val="none" w:sz="0" w:space="0" w:color="auto"/>
        <w:right w:val="none" w:sz="0" w:space="0" w:color="auto"/>
      </w:divBdr>
    </w:div>
    <w:div w:id="2001157132">
      <w:bodyDiv w:val="1"/>
      <w:marLeft w:val="0"/>
      <w:marRight w:val="0"/>
      <w:marTop w:val="0"/>
      <w:marBottom w:val="0"/>
      <w:divBdr>
        <w:top w:val="none" w:sz="0" w:space="0" w:color="auto"/>
        <w:left w:val="none" w:sz="0" w:space="0" w:color="auto"/>
        <w:bottom w:val="none" w:sz="0" w:space="0" w:color="auto"/>
        <w:right w:val="none" w:sz="0" w:space="0" w:color="auto"/>
      </w:divBdr>
    </w:div>
    <w:div w:id="2003507770">
      <w:bodyDiv w:val="1"/>
      <w:marLeft w:val="0"/>
      <w:marRight w:val="0"/>
      <w:marTop w:val="0"/>
      <w:marBottom w:val="0"/>
      <w:divBdr>
        <w:top w:val="none" w:sz="0" w:space="0" w:color="auto"/>
        <w:left w:val="none" w:sz="0" w:space="0" w:color="auto"/>
        <w:bottom w:val="none" w:sz="0" w:space="0" w:color="auto"/>
        <w:right w:val="none" w:sz="0" w:space="0" w:color="auto"/>
      </w:divBdr>
    </w:div>
    <w:div w:id="2029289069">
      <w:bodyDiv w:val="1"/>
      <w:marLeft w:val="0"/>
      <w:marRight w:val="0"/>
      <w:marTop w:val="0"/>
      <w:marBottom w:val="0"/>
      <w:divBdr>
        <w:top w:val="none" w:sz="0" w:space="0" w:color="auto"/>
        <w:left w:val="none" w:sz="0" w:space="0" w:color="auto"/>
        <w:bottom w:val="none" w:sz="0" w:space="0" w:color="auto"/>
        <w:right w:val="none" w:sz="0" w:space="0" w:color="auto"/>
      </w:divBdr>
      <w:divsChild>
        <w:div w:id="2074113873">
          <w:marLeft w:val="0"/>
          <w:marRight w:val="0"/>
          <w:marTop w:val="0"/>
          <w:marBottom w:val="0"/>
          <w:divBdr>
            <w:top w:val="none" w:sz="0" w:space="0" w:color="auto"/>
            <w:left w:val="none" w:sz="0" w:space="0" w:color="auto"/>
            <w:bottom w:val="none" w:sz="0" w:space="0" w:color="auto"/>
            <w:right w:val="none" w:sz="0" w:space="0" w:color="auto"/>
          </w:divBdr>
          <w:divsChild>
            <w:div w:id="2115048833">
              <w:marLeft w:val="0"/>
              <w:marRight w:val="0"/>
              <w:marTop w:val="0"/>
              <w:marBottom w:val="0"/>
              <w:divBdr>
                <w:top w:val="none" w:sz="0" w:space="0" w:color="auto"/>
                <w:left w:val="none" w:sz="0" w:space="0" w:color="auto"/>
                <w:bottom w:val="none" w:sz="0" w:space="0" w:color="auto"/>
                <w:right w:val="none" w:sz="0" w:space="0" w:color="auto"/>
              </w:divBdr>
              <w:divsChild>
                <w:div w:id="510069357">
                  <w:marLeft w:val="0"/>
                  <w:marRight w:val="0"/>
                  <w:marTop w:val="0"/>
                  <w:marBottom w:val="0"/>
                  <w:divBdr>
                    <w:top w:val="none" w:sz="0" w:space="0" w:color="auto"/>
                    <w:left w:val="none" w:sz="0" w:space="0" w:color="auto"/>
                    <w:bottom w:val="single" w:sz="6" w:space="0" w:color="DDDDDD"/>
                    <w:right w:val="none" w:sz="0" w:space="0" w:color="auto"/>
                  </w:divBdr>
                  <w:divsChild>
                    <w:div w:id="9932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234211">
      <w:bodyDiv w:val="1"/>
      <w:marLeft w:val="0"/>
      <w:marRight w:val="0"/>
      <w:marTop w:val="0"/>
      <w:marBottom w:val="0"/>
      <w:divBdr>
        <w:top w:val="none" w:sz="0" w:space="0" w:color="auto"/>
        <w:left w:val="none" w:sz="0" w:space="0" w:color="auto"/>
        <w:bottom w:val="none" w:sz="0" w:space="0" w:color="auto"/>
        <w:right w:val="none" w:sz="0" w:space="0" w:color="auto"/>
      </w:divBdr>
    </w:div>
    <w:div w:id="2069375583">
      <w:bodyDiv w:val="1"/>
      <w:marLeft w:val="0"/>
      <w:marRight w:val="0"/>
      <w:marTop w:val="0"/>
      <w:marBottom w:val="0"/>
      <w:divBdr>
        <w:top w:val="none" w:sz="0" w:space="0" w:color="auto"/>
        <w:left w:val="none" w:sz="0" w:space="0" w:color="auto"/>
        <w:bottom w:val="none" w:sz="0" w:space="0" w:color="auto"/>
        <w:right w:val="none" w:sz="0" w:space="0" w:color="auto"/>
      </w:divBdr>
    </w:div>
    <w:div w:id="2081512428">
      <w:bodyDiv w:val="1"/>
      <w:marLeft w:val="0"/>
      <w:marRight w:val="0"/>
      <w:marTop w:val="0"/>
      <w:marBottom w:val="0"/>
      <w:divBdr>
        <w:top w:val="none" w:sz="0" w:space="0" w:color="auto"/>
        <w:left w:val="none" w:sz="0" w:space="0" w:color="auto"/>
        <w:bottom w:val="none" w:sz="0" w:space="0" w:color="auto"/>
        <w:right w:val="none" w:sz="0" w:space="0" w:color="auto"/>
      </w:divBdr>
    </w:div>
    <w:div w:id="2101824891">
      <w:bodyDiv w:val="1"/>
      <w:marLeft w:val="0"/>
      <w:marRight w:val="0"/>
      <w:marTop w:val="0"/>
      <w:marBottom w:val="0"/>
      <w:divBdr>
        <w:top w:val="none" w:sz="0" w:space="0" w:color="auto"/>
        <w:left w:val="none" w:sz="0" w:space="0" w:color="auto"/>
        <w:bottom w:val="none" w:sz="0" w:space="0" w:color="auto"/>
        <w:right w:val="none" w:sz="0" w:space="0" w:color="auto"/>
      </w:divBdr>
    </w:div>
    <w:div w:id="2110007777">
      <w:bodyDiv w:val="1"/>
      <w:marLeft w:val="0"/>
      <w:marRight w:val="0"/>
      <w:marTop w:val="0"/>
      <w:marBottom w:val="0"/>
      <w:divBdr>
        <w:top w:val="none" w:sz="0" w:space="0" w:color="auto"/>
        <w:left w:val="none" w:sz="0" w:space="0" w:color="auto"/>
        <w:bottom w:val="none" w:sz="0" w:space="0" w:color="auto"/>
        <w:right w:val="none" w:sz="0" w:space="0" w:color="auto"/>
      </w:divBdr>
    </w:div>
    <w:div w:id="2119912416">
      <w:bodyDiv w:val="1"/>
      <w:marLeft w:val="0"/>
      <w:marRight w:val="0"/>
      <w:marTop w:val="0"/>
      <w:marBottom w:val="0"/>
      <w:divBdr>
        <w:top w:val="none" w:sz="0" w:space="0" w:color="auto"/>
        <w:left w:val="none" w:sz="0" w:space="0" w:color="auto"/>
        <w:bottom w:val="none" w:sz="0" w:space="0" w:color="auto"/>
        <w:right w:val="none" w:sz="0" w:space="0" w:color="auto"/>
      </w:divBdr>
    </w:div>
    <w:div w:id="2137022642">
      <w:bodyDiv w:val="1"/>
      <w:marLeft w:val="0"/>
      <w:marRight w:val="0"/>
      <w:marTop w:val="0"/>
      <w:marBottom w:val="0"/>
      <w:divBdr>
        <w:top w:val="none" w:sz="0" w:space="0" w:color="auto"/>
        <w:left w:val="none" w:sz="0" w:space="0" w:color="auto"/>
        <w:bottom w:val="none" w:sz="0" w:space="0" w:color="auto"/>
        <w:right w:val="none" w:sz="0" w:space="0" w:color="auto"/>
      </w:divBdr>
    </w:div>
    <w:div w:id="2142142408">
      <w:bodyDiv w:val="1"/>
      <w:marLeft w:val="0"/>
      <w:marRight w:val="0"/>
      <w:marTop w:val="0"/>
      <w:marBottom w:val="0"/>
      <w:divBdr>
        <w:top w:val="none" w:sz="0" w:space="0" w:color="auto"/>
        <w:left w:val="none" w:sz="0" w:space="0" w:color="auto"/>
        <w:bottom w:val="none" w:sz="0" w:space="0" w:color="auto"/>
        <w:right w:val="none" w:sz="0" w:space="0" w:color="auto"/>
      </w:divBdr>
    </w:div>
    <w:div w:id="214638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interno.gov.it/it/ministero/osservatori/osservatorio-sul-fenomeno-atti-intimidatori-nei-confronti-amministratori-locali" TargetMode="External"/><Relationship Id="rId18" Type="http://schemas.openxmlformats.org/officeDocument/2006/relationships/hyperlink" Target="https://servizi.avcp.it/"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whistleblowing@multiservizimarino.it" TargetMode="External"/><Relationship Id="rId20" Type="http://schemas.openxmlformats.org/officeDocument/2006/relationships/hyperlink" Target="https://www.multiservizi.it/intranet/category/anticorruzione/"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jpg"/><Relationship Id="rId23" Type="http://schemas.openxmlformats.org/officeDocument/2006/relationships/fontTable" Target="fontTable.xml"/><Relationship Id="rId19" Type="http://schemas.openxmlformats.org/officeDocument/2006/relationships/hyperlink" Target="http://www.anticorruzione.it/portal/public/classic/Servizi/manuali" TargetMode="Externa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yperlink" Target="file://\\interno\regionelazio\Gruppi_lavoro\Anticorruzione_e_Trasparenza\Users\sinvidia\AppData\Local\Microsoft\Windows\Temporary%20Internet%20Files\Content.Outlook\Users\sinvidia\AppData\Local\Microsoft\Windows\Temporary%20Internet%20Files\Content.Outlook\Users\sinvidia\AppData\Local\Microsoft\Windows\Temporary%20Internet%20Files\AppData\Local\Microsoft\Windows\INetCache\Documents\archivio%20personale\AppData\Local\Microsoft\Windows\INetCache\Content.Outlook\AppData\Local\Microsoft\Windows\Documents\AppData\Local\Microsoft\Windows\INetCache\Content.Outlook\AppData\Local\Microsoft\Windows\INetCache\stefania.invidia\AppData\Local\Microsoft\Users\stefania.invidia\AppData\Local\Microsoft\Windows\Temporary%20Internet%20Files\AppData\Local\Microsoft\doc\doc\COMUNICAZIONI%20INTERNE\CDA\AU%202015\2.%20det%20au%2030.1.2015\definitivi%20PTTC-PTTI%20e%20tabelle\Macrostruttura%20Rev%20gen.2015_DEF.%20DEF..pptx"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t-I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84313725490197"/>
          <c:y val="0.12790697674418605"/>
          <c:w val="0.80392156862745101"/>
          <c:h val="0.76744186046511631"/>
        </c:manualLayout>
      </c:layout>
      <c:barChart>
        <c:barDir val="col"/>
        <c:grouping val="clustered"/>
        <c:varyColors val="0"/>
        <c:dLbls>
          <c:showLegendKey val="0"/>
          <c:showVal val="0"/>
          <c:showCatName val="0"/>
          <c:showSerName val="0"/>
          <c:showPercent val="0"/>
          <c:showBubbleSize val="0"/>
        </c:dLbls>
        <c:gapWidth val="150"/>
        <c:axId val="167030272"/>
        <c:axId val="168021376"/>
      </c:barChart>
      <c:catAx>
        <c:axId val="167030272"/>
        <c:scaling>
          <c:orientation val="minMax"/>
        </c:scaling>
        <c:delete val="0"/>
        <c:axPos val="b"/>
        <c:majorTickMark val="cross"/>
        <c:minorTickMark val="none"/>
        <c:tickLblPos val="nextTo"/>
        <c:spPr>
          <a:ln w="0">
            <a:solidFill>
              <a:srgbClr val="000000"/>
            </a:solidFill>
            <a:prstDash val="solid"/>
          </a:ln>
        </c:spPr>
        <c:txPr>
          <a:bodyPr rot="0" vert="horz"/>
          <a:lstStyle/>
          <a:p>
            <a:pPr>
              <a:defRPr sz="300" b="1" i="0" u="none" strike="noStrike" baseline="0">
                <a:solidFill>
                  <a:srgbClr val="000000"/>
                </a:solidFill>
                <a:latin typeface="Calibri"/>
                <a:ea typeface="Calibri"/>
                <a:cs typeface="Calibri"/>
              </a:defRPr>
            </a:pPr>
            <a:endParaRPr lang="it-IT"/>
          </a:p>
        </c:txPr>
        <c:crossAx val="168021376"/>
        <c:crosses val="autoZero"/>
        <c:auto val="1"/>
        <c:lblAlgn val="ctr"/>
        <c:lblOffset val="100"/>
        <c:tickMarkSkip val="1"/>
        <c:noMultiLvlLbl val="0"/>
      </c:catAx>
      <c:valAx>
        <c:axId val="168021376"/>
        <c:scaling>
          <c:orientation val="minMax"/>
        </c:scaling>
        <c:delete val="0"/>
        <c:axPos val="l"/>
        <c:majorTickMark val="cross"/>
        <c:minorTickMark val="none"/>
        <c:tickLblPos val="nextTo"/>
        <c:spPr>
          <a:ln w="0">
            <a:solidFill>
              <a:srgbClr val="000000"/>
            </a:solidFill>
            <a:prstDash val="solid"/>
          </a:ln>
        </c:spPr>
        <c:txPr>
          <a:bodyPr rot="0" vert="horz"/>
          <a:lstStyle/>
          <a:p>
            <a:pPr>
              <a:defRPr sz="300" b="1" i="0" u="none" strike="noStrike" baseline="0">
                <a:solidFill>
                  <a:srgbClr val="000000"/>
                </a:solidFill>
                <a:latin typeface="Calibri"/>
                <a:ea typeface="Calibri"/>
                <a:cs typeface="Calibri"/>
              </a:defRPr>
            </a:pPr>
            <a:endParaRPr lang="it-IT"/>
          </a:p>
        </c:txPr>
        <c:crossAx val="167030272"/>
        <c:crosses val="autoZero"/>
        <c:crossBetween val="between"/>
      </c:valAx>
      <c:spPr>
        <a:noFill/>
        <a:ln w="0">
          <a:noFill/>
        </a:ln>
      </c:spPr>
    </c:plotArea>
    <c:plotVisOnly val="1"/>
    <c:dispBlanksAs val="gap"/>
    <c:showDLblsOverMax val="0"/>
  </c:chart>
  <c:spPr>
    <a:noFill/>
    <a:ln>
      <a:noFill/>
    </a:ln>
  </c:spPr>
  <c:txPr>
    <a:bodyPr/>
    <a:lstStyle/>
    <a:p>
      <a:pPr>
        <a:defRPr sz="300" b="1" i="0" u="none" strike="noStrike" baseline="0">
          <a:solidFill>
            <a:srgbClr val="000000"/>
          </a:solidFill>
          <a:latin typeface="Calibri"/>
          <a:ea typeface="Calibri"/>
          <a:cs typeface="Calibri"/>
        </a:defRPr>
      </a:pPr>
      <a:endParaRPr lang="it-IT"/>
    </a:p>
  </c:txPr>
  <c:externalData r:id="rId1">
    <c:autoUpdate val="0"/>
  </c:externalData>
</c:chartSpace>
</file>

<file path=word/ink/ink1.xml><?xml version="1.0" encoding="utf-8"?>
<inkml:ink xmlns:inkml="http://www.w3.org/2003/InkML">
  <inkml:definitions>
    <inkml:context xml:id="ctx0">
      <inkml:inkSource xml:id="inkSrc0">
        <inkml:traceFormat>
          <inkml:channel name="X" type="integer" max="2560" units="cm"/>
          <inkml:channel name="Y" type="integer" max="1440" units="cm"/>
          <inkml:channel name="T" type="integer" max="2.14748E9" units="dev"/>
        </inkml:traceFormat>
        <inkml:channelProperties>
          <inkml:channelProperty channel="X" name="resolution" value="82.58064" units="1/cm"/>
          <inkml:channelProperty channel="Y" name="resolution" value="82.75862" units="1/cm"/>
          <inkml:channelProperty channel="T" name="resolution" value="1" units="1/dev"/>
        </inkml:channelProperties>
      </inkml:inkSource>
      <inkml:timestamp xml:id="ts0" timeString="2019-02-07T14:48:16.840"/>
    </inkml:context>
    <inkml:brush xml:id="br0">
      <inkml:brushProperty name="width" value="0.1" units="cm"/>
      <inkml:brushProperty name="height" value="0.1" units="cm"/>
      <inkml:brushProperty name="fitToCurve" value="1"/>
    </inkml:brush>
  </inkml:definitions>
  <inkml:trace contextRef="#ctx0" brushRef="#br0">0 0 0</inkml:trace>
</inkml:ink>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6F10E-0D03-4438-B83A-3DB4AF71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38638</Words>
  <Characters>220243</Characters>
  <Application>Microsoft Office Word</Application>
  <DocSecurity>0</DocSecurity>
  <Lines>1835</Lines>
  <Paragraphs>516</Paragraphs>
  <ScaleCrop>false</ScaleCrop>
  <HeadingPairs>
    <vt:vector size="2" baseType="variant">
      <vt:variant>
        <vt:lpstr>Titolo</vt:lpstr>
      </vt:variant>
      <vt:variant>
        <vt:i4>1</vt:i4>
      </vt:variant>
    </vt:vector>
  </HeadingPairs>
  <TitlesOfParts>
    <vt:vector size="1" baseType="lpstr">
      <vt:lpstr>LAZIOcrea S.P.A.</vt:lpstr>
    </vt:vector>
  </TitlesOfParts>
  <Company>HP</Company>
  <LinksUpToDate>false</LinksUpToDate>
  <CharactersWithSpaces>258365</CharactersWithSpaces>
  <SharedDoc>false</SharedDoc>
  <HLinks>
    <vt:vector size="456" baseType="variant">
      <vt:variant>
        <vt:i4>458756</vt:i4>
      </vt:variant>
      <vt:variant>
        <vt:i4>420</vt:i4>
      </vt:variant>
      <vt:variant>
        <vt:i4>0</vt:i4>
      </vt:variant>
      <vt:variant>
        <vt:i4>5</vt:i4>
      </vt:variant>
      <vt:variant>
        <vt:lpwstr>http://www.laziocrea.it/</vt:lpwstr>
      </vt:variant>
      <vt:variant>
        <vt:lpwstr/>
      </vt:variant>
      <vt:variant>
        <vt:i4>524341</vt:i4>
      </vt:variant>
      <vt:variant>
        <vt:i4>417</vt:i4>
      </vt:variant>
      <vt:variant>
        <vt:i4>0</vt:i4>
      </vt:variant>
      <vt:variant>
        <vt:i4>5</vt:i4>
      </vt:variant>
      <vt:variant>
        <vt:lpwstr>mailto:amministratoredelegato@laziocrea.it</vt:lpwstr>
      </vt:variant>
      <vt:variant>
        <vt:lpwstr/>
      </vt:variant>
      <vt:variant>
        <vt:i4>2162747</vt:i4>
      </vt:variant>
      <vt:variant>
        <vt:i4>414</vt:i4>
      </vt:variant>
      <vt:variant>
        <vt:i4>0</vt:i4>
      </vt:variant>
      <vt:variant>
        <vt:i4>5</vt:i4>
      </vt:variant>
      <vt:variant>
        <vt:lpwstr>http://lnx.lazioservice.com/wp-content/uploads/2014/10/modulo-2.pdf</vt:lpwstr>
      </vt:variant>
      <vt:variant>
        <vt:lpwstr/>
      </vt:variant>
      <vt:variant>
        <vt:i4>327727</vt:i4>
      </vt:variant>
      <vt:variant>
        <vt:i4>411</vt:i4>
      </vt:variant>
      <vt:variant>
        <vt:i4>0</vt:i4>
      </vt:variant>
      <vt:variant>
        <vt:i4>5</vt:i4>
      </vt:variant>
      <vt:variant>
        <vt:lpwstr>mailto:protocollo@laziocrea.it</vt:lpwstr>
      </vt:variant>
      <vt:variant>
        <vt:lpwstr/>
      </vt:variant>
      <vt:variant>
        <vt:i4>458756</vt:i4>
      </vt:variant>
      <vt:variant>
        <vt:i4>408</vt:i4>
      </vt:variant>
      <vt:variant>
        <vt:i4>0</vt:i4>
      </vt:variant>
      <vt:variant>
        <vt:i4>5</vt:i4>
      </vt:variant>
      <vt:variant>
        <vt:lpwstr>http://www.laziocrea.it/</vt:lpwstr>
      </vt:variant>
      <vt:variant>
        <vt:lpwstr/>
      </vt:variant>
      <vt:variant>
        <vt:i4>1703994</vt:i4>
      </vt:variant>
      <vt:variant>
        <vt:i4>405</vt:i4>
      </vt:variant>
      <vt:variant>
        <vt:i4>0</vt:i4>
      </vt:variant>
      <vt:variant>
        <vt:i4>5</vt:i4>
      </vt:variant>
      <vt:variant>
        <vt:lpwstr>mailto:contactcenter@laziocrea.it</vt:lpwstr>
      </vt:variant>
      <vt:variant>
        <vt:lpwstr/>
      </vt:variant>
      <vt:variant>
        <vt:i4>5308475</vt:i4>
      </vt:variant>
      <vt:variant>
        <vt:i4>402</vt:i4>
      </vt:variant>
      <vt:variant>
        <vt:i4>0</vt:i4>
      </vt:variant>
      <vt:variant>
        <vt:i4>5</vt:i4>
      </vt:variant>
      <vt:variant>
        <vt:lpwstr>mailto:anticorruzione.trasparenza@laziocrea.it</vt:lpwstr>
      </vt:variant>
      <vt:variant>
        <vt:lpwstr/>
      </vt:variant>
      <vt:variant>
        <vt:i4>7012445</vt:i4>
      </vt:variant>
      <vt:variant>
        <vt:i4>399</vt:i4>
      </vt:variant>
      <vt:variant>
        <vt:i4>0</vt:i4>
      </vt:variant>
      <vt:variant>
        <vt:i4>5</vt:i4>
      </vt:variant>
      <vt:variant>
        <vt:lpwstr>mailto:portali@laziocrea.it</vt:lpwstr>
      </vt:variant>
      <vt:variant>
        <vt:lpwstr/>
      </vt:variant>
      <vt:variant>
        <vt:i4>1703994</vt:i4>
      </vt:variant>
      <vt:variant>
        <vt:i4>396</vt:i4>
      </vt:variant>
      <vt:variant>
        <vt:i4>0</vt:i4>
      </vt:variant>
      <vt:variant>
        <vt:i4>5</vt:i4>
      </vt:variant>
      <vt:variant>
        <vt:lpwstr>mailto:contactcenter@laziocrea.it</vt:lpwstr>
      </vt:variant>
      <vt:variant>
        <vt:lpwstr/>
      </vt:variant>
      <vt:variant>
        <vt:i4>5963878</vt:i4>
      </vt:variant>
      <vt:variant>
        <vt:i4>393</vt:i4>
      </vt:variant>
      <vt:variant>
        <vt:i4>0</vt:i4>
      </vt:variant>
      <vt:variant>
        <vt:i4>5</vt:i4>
      </vt:variant>
      <vt:variant>
        <vt:lpwstr>mailto:whistleblowing@anticorruzione.it</vt:lpwstr>
      </vt:variant>
      <vt:variant>
        <vt:lpwstr/>
      </vt:variant>
      <vt:variant>
        <vt:i4>458756</vt:i4>
      </vt:variant>
      <vt:variant>
        <vt:i4>390</vt:i4>
      </vt:variant>
      <vt:variant>
        <vt:i4>0</vt:i4>
      </vt:variant>
      <vt:variant>
        <vt:i4>5</vt:i4>
      </vt:variant>
      <vt:variant>
        <vt:lpwstr>http://www.laziocrea.it/</vt:lpwstr>
      </vt:variant>
      <vt:variant>
        <vt:lpwstr/>
      </vt:variant>
      <vt:variant>
        <vt:i4>2031721</vt:i4>
      </vt:variant>
      <vt:variant>
        <vt:i4>387</vt:i4>
      </vt:variant>
      <vt:variant>
        <vt:i4>0</vt:i4>
      </vt:variant>
      <vt:variant>
        <vt:i4>5</vt:i4>
      </vt:variant>
      <vt:variant>
        <vt:lpwstr>file://\\interno\regionelazio\Gruppi_lavoro\Anticorruzione_e_Trasparenza\Users\sinvidia\AppData\Local\Microsoft\Windows\Temporary Internet Files\Content.Outlook\Users\sinvidia\AppData\Local\Microsoft\Windows\Temporary Internet Files\Content.Outlook\Users\sinvidia\AppData\Local\Microsoft\Windows\Temporary Internet Files\AppData\Local\Microsoft\Windows\INetCache\Documents\archivio personale\AppData\Local\Microsoft\Windows\INetCache\Content.Outlook\AppData\Local\Microsoft\Windows\Documents\AppData\Local\Microsoft\Windows\INetCache\Content.Outlook\AppData\Local\Microsoft\Windows\INetCache\stefania.invidia\AppData\Local\Microsoft\Users\stefania.invidia\AppData\Local\Microsoft\Windows\Temporary Internet Files\AppData\Local\Microsoft\doc\doc\COMUNICAZIONI INTERNE\CDA\AU 2015\2. det au 30.1.2015\definitivi PTTC-PTTI e tabelle\Macrostruttura Rev gen.2015_DEF. DEF..pptx</vt:lpwstr>
      </vt:variant>
      <vt:variant>
        <vt:lpwstr/>
      </vt:variant>
      <vt:variant>
        <vt:i4>1179709</vt:i4>
      </vt:variant>
      <vt:variant>
        <vt:i4>380</vt:i4>
      </vt:variant>
      <vt:variant>
        <vt:i4>0</vt:i4>
      </vt:variant>
      <vt:variant>
        <vt:i4>5</vt:i4>
      </vt:variant>
      <vt:variant>
        <vt:lpwstr/>
      </vt:variant>
      <vt:variant>
        <vt:lpwstr>_Toc455782453</vt:lpwstr>
      </vt:variant>
      <vt:variant>
        <vt:i4>1179709</vt:i4>
      </vt:variant>
      <vt:variant>
        <vt:i4>374</vt:i4>
      </vt:variant>
      <vt:variant>
        <vt:i4>0</vt:i4>
      </vt:variant>
      <vt:variant>
        <vt:i4>5</vt:i4>
      </vt:variant>
      <vt:variant>
        <vt:lpwstr/>
      </vt:variant>
      <vt:variant>
        <vt:lpwstr>_Toc455782452</vt:lpwstr>
      </vt:variant>
      <vt:variant>
        <vt:i4>1179709</vt:i4>
      </vt:variant>
      <vt:variant>
        <vt:i4>368</vt:i4>
      </vt:variant>
      <vt:variant>
        <vt:i4>0</vt:i4>
      </vt:variant>
      <vt:variant>
        <vt:i4>5</vt:i4>
      </vt:variant>
      <vt:variant>
        <vt:lpwstr/>
      </vt:variant>
      <vt:variant>
        <vt:lpwstr>_Toc455782451</vt:lpwstr>
      </vt:variant>
      <vt:variant>
        <vt:i4>1179709</vt:i4>
      </vt:variant>
      <vt:variant>
        <vt:i4>362</vt:i4>
      </vt:variant>
      <vt:variant>
        <vt:i4>0</vt:i4>
      </vt:variant>
      <vt:variant>
        <vt:i4>5</vt:i4>
      </vt:variant>
      <vt:variant>
        <vt:lpwstr/>
      </vt:variant>
      <vt:variant>
        <vt:lpwstr>_Toc455782450</vt:lpwstr>
      </vt:variant>
      <vt:variant>
        <vt:i4>1245245</vt:i4>
      </vt:variant>
      <vt:variant>
        <vt:i4>356</vt:i4>
      </vt:variant>
      <vt:variant>
        <vt:i4>0</vt:i4>
      </vt:variant>
      <vt:variant>
        <vt:i4>5</vt:i4>
      </vt:variant>
      <vt:variant>
        <vt:lpwstr/>
      </vt:variant>
      <vt:variant>
        <vt:lpwstr>_Toc455782449</vt:lpwstr>
      </vt:variant>
      <vt:variant>
        <vt:i4>1245245</vt:i4>
      </vt:variant>
      <vt:variant>
        <vt:i4>350</vt:i4>
      </vt:variant>
      <vt:variant>
        <vt:i4>0</vt:i4>
      </vt:variant>
      <vt:variant>
        <vt:i4>5</vt:i4>
      </vt:variant>
      <vt:variant>
        <vt:lpwstr/>
      </vt:variant>
      <vt:variant>
        <vt:lpwstr>_Toc455782448</vt:lpwstr>
      </vt:variant>
      <vt:variant>
        <vt:i4>1245245</vt:i4>
      </vt:variant>
      <vt:variant>
        <vt:i4>344</vt:i4>
      </vt:variant>
      <vt:variant>
        <vt:i4>0</vt:i4>
      </vt:variant>
      <vt:variant>
        <vt:i4>5</vt:i4>
      </vt:variant>
      <vt:variant>
        <vt:lpwstr/>
      </vt:variant>
      <vt:variant>
        <vt:lpwstr>_Toc455782447</vt:lpwstr>
      </vt:variant>
      <vt:variant>
        <vt:i4>1245245</vt:i4>
      </vt:variant>
      <vt:variant>
        <vt:i4>338</vt:i4>
      </vt:variant>
      <vt:variant>
        <vt:i4>0</vt:i4>
      </vt:variant>
      <vt:variant>
        <vt:i4>5</vt:i4>
      </vt:variant>
      <vt:variant>
        <vt:lpwstr/>
      </vt:variant>
      <vt:variant>
        <vt:lpwstr>_Toc455782446</vt:lpwstr>
      </vt:variant>
      <vt:variant>
        <vt:i4>1245245</vt:i4>
      </vt:variant>
      <vt:variant>
        <vt:i4>332</vt:i4>
      </vt:variant>
      <vt:variant>
        <vt:i4>0</vt:i4>
      </vt:variant>
      <vt:variant>
        <vt:i4>5</vt:i4>
      </vt:variant>
      <vt:variant>
        <vt:lpwstr/>
      </vt:variant>
      <vt:variant>
        <vt:lpwstr>_Toc455782445</vt:lpwstr>
      </vt:variant>
      <vt:variant>
        <vt:i4>1245245</vt:i4>
      </vt:variant>
      <vt:variant>
        <vt:i4>326</vt:i4>
      </vt:variant>
      <vt:variant>
        <vt:i4>0</vt:i4>
      </vt:variant>
      <vt:variant>
        <vt:i4>5</vt:i4>
      </vt:variant>
      <vt:variant>
        <vt:lpwstr/>
      </vt:variant>
      <vt:variant>
        <vt:lpwstr>_Toc455782444</vt:lpwstr>
      </vt:variant>
      <vt:variant>
        <vt:i4>1245245</vt:i4>
      </vt:variant>
      <vt:variant>
        <vt:i4>320</vt:i4>
      </vt:variant>
      <vt:variant>
        <vt:i4>0</vt:i4>
      </vt:variant>
      <vt:variant>
        <vt:i4>5</vt:i4>
      </vt:variant>
      <vt:variant>
        <vt:lpwstr/>
      </vt:variant>
      <vt:variant>
        <vt:lpwstr>_Toc455782443</vt:lpwstr>
      </vt:variant>
      <vt:variant>
        <vt:i4>1245245</vt:i4>
      </vt:variant>
      <vt:variant>
        <vt:i4>314</vt:i4>
      </vt:variant>
      <vt:variant>
        <vt:i4>0</vt:i4>
      </vt:variant>
      <vt:variant>
        <vt:i4>5</vt:i4>
      </vt:variant>
      <vt:variant>
        <vt:lpwstr/>
      </vt:variant>
      <vt:variant>
        <vt:lpwstr>_Toc455782442</vt:lpwstr>
      </vt:variant>
      <vt:variant>
        <vt:i4>1245245</vt:i4>
      </vt:variant>
      <vt:variant>
        <vt:i4>308</vt:i4>
      </vt:variant>
      <vt:variant>
        <vt:i4>0</vt:i4>
      </vt:variant>
      <vt:variant>
        <vt:i4>5</vt:i4>
      </vt:variant>
      <vt:variant>
        <vt:lpwstr/>
      </vt:variant>
      <vt:variant>
        <vt:lpwstr>_Toc455782441</vt:lpwstr>
      </vt:variant>
      <vt:variant>
        <vt:i4>1245245</vt:i4>
      </vt:variant>
      <vt:variant>
        <vt:i4>302</vt:i4>
      </vt:variant>
      <vt:variant>
        <vt:i4>0</vt:i4>
      </vt:variant>
      <vt:variant>
        <vt:i4>5</vt:i4>
      </vt:variant>
      <vt:variant>
        <vt:lpwstr/>
      </vt:variant>
      <vt:variant>
        <vt:lpwstr>_Toc455782440</vt:lpwstr>
      </vt:variant>
      <vt:variant>
        <vt:i4>1310781</vt:i4>
      </vt:variant>
      <vt:variant>
        <vt:i4>296</vt:i4>
      </vt:variant>
      <vt:variant>
        <vt:i4>0</vt:i4>
      </vt:variant>
      <vt:variant>
        <vt:i4>5</vt:i4>
      </vt:variant>
      <vt:variant>
        <vt:lpwstr/>
      </vt:variant>
      <vt:variant>
        <vt:lpwstr>_Toc455782439</vt:lpwstr>
      </vt:variant>
      <vt:variant>
        <vt:i4>1310781</vt:i4>
      </vt:variant>
      <vt:variant>
        <vt:i4>290</vt:i4>
      </vt:variant>
      <vt:variant>
        <vt:i4>0</vt:i4>
      </vt:variant>
      <vt:variant>
        <vt:i4>5</vt:i4>
      </vt:variant>
      <vt:variant>
        <vt:lpwstr/>
      </vt:variant>
      <vt:variant>
        <vt:lpwstr>_Toc455782438</vt:lpwstr>
      </vt:variant>
      <vt:variant>
        <vt:i4>1310781</vt:i4>
      </vt:variant>
      <vt:variant>
        <vt:i4>284</vt:i4>
      </vt:variant>
      <vt:variant>
        <vt:i4>0</vt:i4>
      </vt:variant>
      <vt:variant>
        <vt:i4>5</vt:i4>
      </vt:variant>
      <vt:variant>
        <vt:lpwstr/>
      </vt:variant>
      <vt:variant>
        <vt:lpwstr>_Toc455782437</vt:lpwstr>
      </vt:variant>
      <vt:variant>
        <vt:i4>1310781</vt:i4>
      </vt:variant>
      <vt:variant>
        <vt:i4>278</vt:i4>
      </vt:variant>
      <vt:variant>
        <vt:i4>0</vt:i4>
      </vt:variant>
      <vt:variant>
        <vt:i4>5</vt:i4>
      </vt:variant>
      <vt:variant>
        <vt:lpwstr/>
      </vt:variant>
      <vt:variant>
        <vt:lpwstr>_Toc455782436</vt:lpwstr>
      </vt:variant>
      <vt:variant>
        <vt:i4>1310781</vt:i4>
      </vt:variant>
      <vt:variant>
        <vt:i4>272</vt:i4>
      </vt:variant>
      <vt:variant>
        <vt:i4>0</vt:i4>
      </vt:variant>
      <vt:variant>
        <vt:i4>5</vt:i4>
      </vt:variant>
      <vt:variant>
        <vt:lpwstr/>
      </vt:variant>
      <vt:variant>
        <vt:lpwstr>_Toc455782435</vt:lpwstr>
      </vt:variant>
      <vt:variant>
        <vt:i4>1310781</vt:i4>
      </vt:variant>
      <vt:variant>
        <vt:i4>266</vt:i4>
      </vt:variant>
      <vt:variant>
        <vt:i4>0</vt:i4>
      </vt:variant>
      <vt:variant>
        <vt:i4>5</vt:i4>
      </vt:variant>
      <vt:variant>
        <vt:lpwstr/>
      </vt:variant>
      <vt:variant>
        <vt:lpwstr>_Toc455782434</vt:lpwstr>
      </vt:variant>
      <vt:variant>
        <vt:i4>1310781</vt:i4>
      </vt:variant>
      <vt:variant>
        <vt:i4>260</vt:i4>
      </vt:variant>
      <vt:variant>
        <vt:i4>0</vt:i4>
      </vt:variant>
      <vt:variant>
        <vt:i4>5</vt:i4>
      </vt:variant>
      <vt:variant>
        <vt:lpwstr/>
      </vt:variant>
      <vt:variant>
        <vt:lpwstr>_Toc455782433</vt:lpwstr>
      </vt:variant>
      <vt:variant>
        <vt:i4>1310781</vt:i4>
      </vt:variant>
      <vt:variant>
        <vt:i4>254</vt:i4>
      </vt:variant>
      <vt:variant>
        <vt:i4>0</vt:i4>
      </vt:variant>
      <vt:variant>
        <vt:i4>5</vt:i4>
      </vt:variant>
      <vt:variant>
        <vt:lpwstr/>
      </vt:variant>
      <vt:variant>
        <vt:lpwstr>_Toc455782432</vt:lpwstr>
      </vt:variant>
      <vt:variant>
        <vt:i4>1310781</vt:i4>
      </vt:variant>
      <vt:variant>
        <vt:i4>248</vt:i4>
      </vt:variant>
      <vt:variant>
        <vt:i4>0</vt:i4>
      </vt:variant>
      <vt:variant>
        <vt:i4>5</vt:i4>
      </vt:variant>
      <vt:variant>
        <vt:lpwstr/>
      </vt:variant>
      <vt:variant>
        <vt:lpwstr>_Toc455782431</vt:lpwstr>
      </vt:variant>
      <vt:variant>
        <vt:i4>1310781</vt:i4>
      </vt:variant>
      <vt:variant>
        <vt:i4>242</vt:i4>
      </vt:variant>
      <vt:variant>
        <vt:i4>0</vt:i4>
      </vt:variant>
      <vt:variant>
        <vt:i4>5</vt:i4>
      </vt:variant>
      <vt:variant>
        <vt:lpwstr/>
      </vt:variant>
      <vt:variant>
        <vt:lpwstr>_Toc455782430</vt:lpwstr>
      </vt:variant>
      <vt:variant>
        <vt:i4>1376317</vt:i4>
      </vt:variant>
      <vt:variant>
        <vt:i4>236</vt:i4>
      </vt:variant>
      <vt:variant>
        <vt:i4>0</vt:i4>
      </vt:variant>
      <vt:variant>
        <vt:i4>5</vt:i4>
      </vt:variant>
      <vt:variant>
        <vt:lpwstr/>
      </vt:variant>
      <vt:variant>
        <vt:lpwstr>_Toc455782429</vt:lpwstr>
      </vt:variant>
      <vt:variant>
        <vt:i4>1376317</vt:i4>
      </vt:variant>
      <vt:variant>
        <vt:i4>230</vt:i4>
      </vt:variant>
      <vt:variant>
        <vt:i4>0</vt:i4>
      </vt:variant>
      <vt:variant>
        <vt:i4>5</vt:i4>
      </vt:variant>
      <vt:variant>
        <vt:lpwstr/>
      </vt:variant>
      <vt:variant>
        <vt:lpwstr>_Toc455782428</vt:lpwstr>
      </vt:variant>
      <vt:variant>
        <vt:i4>1376317</vt:i4>
      </vt:variant>
      <vt:variant>
        <vt:i4>224</vt:i4>
      </vt:variant>
      <vt:variant>
        <vt:i4>0</vt:i4>
      </vt:variant>
      <vt:variant>
        <vt:i4>5</vt:i4>
      </vt:variant>
      <vt:variant>
        <vt:lpwstr/>
      </vt:variant>
      <vt:variant>
        <vt:lpwstr>_Toc455782427</vt:lpwstr>
      </vt:variant>
      <vt:variant>
        <vt:i4>1376317</vt:i4>
      </vt:variant>
      <vt:variant>
        <vt:i4>218</vt:i4>
      </vt:variant>
      <vt:variant>
        <vt:i4>0</vt:i4>
      </vt:variant>
      <vt:variant>
        <vt:i4>5</vt:i4>
      </vt:variant>
      <vt:variant>
        <vt:lpwstr/>
      </vt:variant>
      <vt:variant>
        <vt:lpwstr>_Toc455782426</vt:lpwstr>
      </vt:variant>
      <vt:variant>
        <vt:i4>1376317</vt:i4>
      </vt:variant>
      <vt:variant>
        <vt:i4>212</vt:i4>
      </vt:variant>
      <vt:variant>
        <vt:i4>0</vt:i4>
      </vt:variant>
      <vt:variant>
        <vt:i4>5</vt:i4>
      </vt:variant>
      <vt:variant>
        <vt:lpwstr/>
      </vt:variant>
      <vt:variant>
        <vt:lpwstr>_Toc455782425</vt:lpwstr>
      </vt:variant>
      <vt:variant>
        <vt:i4>1376317</vt:i4>
      </vt:variant>
      <vt:variant>
        <vt:i4>206</vt:i4>
      </vt:variant>
      <vt:variant>
        <vt:i4>0</vt:i4>
      </vt:variant>
      <vt:variant>
        <vt:i4>5</vt:i4>
      </vt:variant>
      <vt:variant>
        <vt:lpwstr/>
      </vt:variant>
      <vt:variant>
        <vt:lpwstr>_Toc455782424</vt:lpwstr>
      </vt:variant>
      <vt:variant>
        <vt:i4>1376317</vt:i4>
      </vt:variant>
      <vt:variant>
        <vt:i4>200</vt:i4>
      </vt:variant>
      <vt:variant>
        <vt:i4>0</vt:i4>
      </vt:variant>
      <vt:variant>
        <vt:i4>5</vt:i4>
      </vt:variant>
      <vt:variant>
        <vt:lpwstr/>
      </vt:variant>
      <vt:variant>
        <vt:lpwstr>_Toc455782423</vt:lpwstr>
      </vt:variant>
      <vt:variant>
        <vt:i4>1376317</vt:i4>
      </vt:variant>
      <vt:variant>
        <vt:i4>194</vt:i4>
      </vt:variant>
      <vt:variant>
        <vt:i4>0</vt:i4>
      </vt:variant>
      <vt:variant>
        <vt:i4>5</vt:i4>
      </vt:variant>
      <vt:variant>
        <vt:lpwstr/>
      </vt:variant>
      <vt:variant>
        <vt:lpwstr>_Toc455782422</vt:lpwstr>
      </vt:variant>
      <vt:variant>
        <vt:i4>1376317</vt:i4>
      </vt:variant>
      <vt:variant>
        <vt:i4>188</vt:i4>
      </vt:variant>
      <vt:variant>
        <vt:i4>0</vt:i4>
      </vt:variant>
      <vt:variant>
        <vt:i4>5</vt:i4>
      </vt:variant>
      <vt:variant>
        <vt:lpwstr/>
      </vt:variant>
      <vt:variant>
        <vt:lpwstr>_Toc455782421</vt:lpwstr>
      </vt:variant>
      <vt:variant>
        <vt:i4>1376317</vt:i4>
      </vt:variant>
      <vt:variant>
        <vt:i4>182</vt:i4>
      </vt:variant>
      <vt:variant>
        <vt:i4>0</vt:i4>
      </vt:variant>
      <vt:variant>
        <vt:i4>5</vt:i4>
      </vt:variant>
      <vt:variant>
        <vt:lpwstr/>
      </vt:variant>
      <vt:variant>
        <vt:lpwstr>_Toc455782420</vt:lpwstr>
      </vt:variant>
      <vt:variant>
        <vt:i4>1441853</vt:i4>
      </vt:variant>
      <vt:variant>
        <vt:i4>176</vt:i4>
      </vt:variant>
      <vt:variant>
        <vt:i4>0</vt:i4>
      </vt:variant>
      <vt:variant>
        <vt:i4>5</vt:i4>
      </vt:variant>
      <vt:variant>
        <vt:lpwstr/>
      </vt:variant>
      <vt:variant>
        <vt:lpwstr>_Toc455782419</vt:lpwstr>
      </vt:variant>
      <vt:variant>
        <vt:i4>1441853</vt:i4>
      </vt:variant>
      <vt:variant>
        <vt:i4>170</vt:i4>
      </vt:variant>
      <vt:variant>
        <vt:i4>0</vt:i4>
      </vt:variant>
      <vt:variant>
        <vt:i4>5</vt:i4>
      </vt:variant>
      <vt:variant>
        <vt:lpwstr/>
      </vt:variant>
      <vt:variant>
        <vt:lpwstr>_Toc455782418</vt:lpwstr>
      </vt:variant>
      <vt:variant>
        <vt:i4>1441853</vt:i4>
      </vt:variant>
      <vt:variant>
        <vt:i4>164</vt:i4>
      </vt:variant>
      <vt:variant>
        <vt:i4>0</vt:i4>
      </vt:variant>
      <vt:variant>
        <vt:i4>5</vt:i4>
      </vt:variant>
      <vt:variant>
        <vt:lpwstr/>
      </vt:variant>
      <vt:variant>
        <vt:lpwstr>_Toc455782417</vt:lpwstr>
      </vt:variant>
      <vt:variant>
        <vt:i4>1441853</vt:i4>
      </vt:variant>
      <vt:variant>
        <vt:i4>158</vt:i4>
      </vt:variant>
      <vt:variant>
        <vt:i4>0</vt:i4>
      </vt:variant>
      <vt:variant>
        <vt:i4>5</vt:i4>
      </vt:variant>
      <vt:variant>
        <vt:lpwstr/>
      </vt:variant>
      <vt:variant>
        <vt:lpwstr>_Toc455782416</vt:lpwstr>
      </vt:variant>
      <vt:variant>
        <vt:i4>1441853</vt:i4>
      </vt:variant>
      <vt:variant>
        <vt:i4>152</vt:i4>
      </vt:variant>
      <vt:variant>
        <vt:i4>0</vt:i4>
      </vt:variant>
      <vt:variant>
        <vt:i4>5</vt:i4>
      </vt:variant>
      <vt:variant>
        <vt:lpwstr/>
      </vt:variant>
      <vt:variant>
        <vt:lpwstr>_Toc455782415</vt:lpwstr>
      </vt:variant>
      <vt:variant>
        <vt:i4>1441853</vt:i4>
      </vt:variant>
      <vt:variant>
        <vt:i4>146</vt:i4>
      </vt:variant>
      <vt:variant>
        <vt:i4>0</vt:i4>
      </vt:variant>
      <vt:variant>
        <vt:i4>5</vt:i4>
      </vt:variant>
      <vt:variant>
        <vt:lpwstr/>
      </vt:variant>
      <vt:variant>
        <vt:lpwstr>_Toc455782414</vt:lpwstr>
      </vt:variant>
      <vt:variant>
        <vt:i4>1441853</vt:i4>
      </vt:variant>
      <vt:variant>
        <vt:i4>140</vt:i4>
      </vt:variant>
      <vt:variant>
        <vt:i4>0</vt:i4>
      </vt:variant>
      <vt:variant>
        <vt:i4>5</vt:i4>
      </vt:variant>
      <vt:variant>
        <vt:lpwstr/>
      </vt:variant>
      <vt:variant>
        <vt:lpwstr>_Toc455782413</vt:lpwstr>
      </vt:variant>
      <vt:variant>
        <vt:i4>1441853</vt:i4>
      </vt:variant>
      <vt:variant>
        <vt:i4>134</vt:i4>
      </vt:variant>
      <vt:variant>
        <vt:i4>0</vt:i4>
      </vt:variant>
      <vt:variant>
        <vt:i4>5</vt:i4>
      </vt:variant>
      <vt:variant>
        <vt:lpwstr/>
      </vt:variant>
      <vt:variant>
        <vt:lpwstr>_Toc455782412</vt:lpwstr>
      </vt:variant>
      <vt:variant>
        <vt:i4>1441853</vt:i4>
      </vt:variant>
      <vt:variant>
        <vt:i4>128</vt:i4>
      </vt:variant>
      <vt:variant>
        <vt:i4>0</vt:i4>
      </vt:variant>
      <vt:variant>
        <vt:i4>5</vt:i4>
      </vt:variant>
      <vt:variant>
        <vt:lpwstr/>
      </vt:variant>
      <vt:variant>
        <vt:lpwstr>_Toc455782411</vt:lpwstr>
      </vt:variant>
      <vt:variant>
        <vt:i4>1441853</vt:i4>
      </vt:variant>
      <vt:variant>
        <vt:i4>122</vt:i4>
      </vt:variant>
      <vt:variant>
        <vt:i4>0</vt:i4>
      </vt:variant>
      <vt:variant>
        <vt:i4>5</vt:i4>
      </vt:variant>
      <vt:variant>
        <vt:lpwstr/>
      </vt:variant>
      <vt:variant>
        <vt:lpwstr>_Toc455782410</vt:lpwstr>
      </vt:variant>
      <vt:variant>
        <vt:i4>1507389</vt:i4>
      </vt:variant>
      <vt:variant>
        <vt:i4>116</vt:i4>
      </vt:variant>
      <vt:variant>
        <vt:i4>0</vt:i4>
      </vt:variant>
      <vt:variant>
        <vt:i4>5</vt:i4>
      </vt:variant>
      <vt:variant>
        <vt:lpwstr/>
      </vt:variant>
      <vt:variant>
        <vt:lpwstr>_Toc455782409</vt:lpwstr>
      </vt:variant>
      <vt:variant>
        <vt:i4>1507389</vt:i4>
      </vt:variant>
      <vt:variant>
        <vt:i4>110</vt:i4>
      </vt:variant>
      <vt:variant>
        <vt:i4>0</vt:i4>
      </vt:variant>
      <vt:variant>
        <vt:i4>5</vt:i4>
      </vt:variant>
      <vt:variant>
        <vt:lpwstr/>
      </vt:variant>
      <vt:variant>
        <vt:lpwstr>_Toc455782408</vt:lpwstr>
      </vt:variant>
      <vt:variant>
        <vt:i4>1507389</vt:i4>
      </vt:variant>
      <vt:variant>
        <vt:i4>104</vt:i4>
      </vt:variant>
      <vt:variant>
        <vt:i4>0</vt:i4>
      </vt:variant>
      <vt:variant>
        <vt:i4>5</vt:i4>
      </vt:variant>
      <vt:variant>
        <vt:lpwstr/>
      </vt:variant>
      <vt:variant>
        <vt:lpwstr>_Toc455782407</vt:lpwstr>
      </vt:variant>
      <vt:variant>
        <vt:i4>1507389</vt:i4>
      </vt:variant>
      <vt:variant>
        <vt:i4>98</vt:i4>
      </vt:variant>
      <vt:variant>
        <vt:i4>0</vt:i4>
      </vt:variant>
      <vt:variant>
        <vt:i4>5</vt:i4>
      </vt:variant>
      <vt:variant>
        <vt:lpwstr/>
      </vt:variant>
      <vt:variant>
        <vt:lpwstr>_Toc455782406</vt:lpwstr>
      </vt:variant>
      <vt:variant>
        <vt:i4>1507389</vt:i4>
      </vt:variant>
      <vt:variant>
        <vt:i4>92</vt:i4>
      </vt:variant>
      <vt:variant>
        <vt:i4>0</vt:i4>
      </vt:variant>
      <vt:variant>
        <vt:i4>5</vt:i4>
      </vt:variant>
      <vt:variant>
        <vt:lpwstr/>
      </vt:variant>
      <vt:variant>
        <vt:lpwstr>_Toc455782405</vt:lpwstr>
      </vt:variant>
      <vt:variant>
        <vt:i4>1507389</vt:i4>
      </vt:variant>
      <vt:variant>
        <vt:i4>86</vt:i4>
      </vt:variant>
      <vt:variant>
        <vt:i4>0</vt:i4>
      </vt:variant>
      <vt:variant>
        <vt:i4>5</vt:i4>
      </vt:variant>
      <vt:variant>
        <vt:lpwstr/>
      </vt:variant>
      <vt:variant>
        <vt:lpwstr>_Toc455782404</vt:lpwstr>
      </vt:variant>
      <vt:variant>
        <vt:i4>1507389</vt:i4>
      </vt:variant>
      <vt:variant>
        <vt:i4>80</vt:i4>
      </vt:variant>
      <vt:variant>
        <vt:i4>0</vt:i4>
      </vt:variant>
      <vt:variant>
        <vt:i4>5</vt:i4>
      </vt:variant>
      <vt:variant>
        <vt:lpwstr/>
      </vt:variant>
      <vt:variant>
        <vt:lpwstr>_Toc455782403</vt:lpwstr>
      </vt:variant>
      <vt:variant>
        <vt:i4>1507389</vt:i4>
      </vt:variant>
      <vt:variant>
        <vt:i4>74</vt:i4>
      </vt:variant>
      <vt:variant>
        <vt:i4>0</vt:i4>
      </vt:variant>
      <vt:variant>
        <vt:i4>5</vt:i4>
      </vt:variant>
      <vt:variant>
        <vt:lpwstr/>
      </vt:variant>
      <vt:variant>
        <vt:lpwstr>_Toc455782402</vt:lpwstr>
      </vt:variant>
      <vt:variant>
        <vt:i4>1507389</vt:i4>
      </vt:variant>
      <vt:variant>
        <vt:i4>68</vt:i4>
      </vt:variant>
      <vt:variant>
        <vt:i4>0</vt:i4>
      </vt:variant>
      <vt:variant>
        <vt:i4>5</vt:i4>
      </vt:variant>
      <vt:variant>
        <vt:lpwstr/>
      </vt:variant>
      <vt:variant>
        <vt:lpwstr>_Toc455782401</vt:lpwstr>
      </vt:variant>
      <vt:variant>
        <vt:i4>1507389</vt:i4>
      </vt:variant>
      <vt:variant>
        <vt:i4>62</vt:i4>
      </vt:variant>
      <vt:variant>
        <vt:i4>0</vt:i4>
      </vt:variant>
      <vt:variant>
        <vt:i4>5</vt:i4>
      </vt:variant>
      <vt:variant>
        <vt:lpwstr/>
      </vt:variant>
      <vt:variant>
        <vt:lpwstr>_Toc455782400</vt:lpwstr>
      </vt:variant>
      <vt:variant>
        <vt:i4>1966138</vt:i4>
      </vt:variant>
      <vt:variant>
        <vt:i4>56</vt:i4>
      </vt:variant>
      <vt:variant>
        <vt:i4>0</vt:i4>
      </vt:variant>
      <vt:variant>
        <vt:i4>5</vt:i4>
      </vt:variant>
      <vt:variant>
        <vt:lpwstr/>
      </vt:variant>
      <vt:variant>
        <vt:lpwstr>_Toc455782399</vt:lpwstr>
      </vt:variant>
      <vt:variant>
        <vt:i4>1966138</vt:i4>
      </vt:variant>
      <vt:variant>
        <vt:i4>50</vt:i4>
      </vt:variant>
      <vt:variant>
        <vt:i4>0</vt:i4>
      </vt:variant>
      <vt:variant>
        <vt:i4>5</vt:i4>
      </vt:variant>
      <vt:variant>
        <vt:lpwstr/>
      </vt:variant>
      <vt:variant>
        <vt:lpwstr>_Toc455782398</vt:lpwstr>
      </vt:variant>
      <vt:variant>
        <vt:i4>1966138</vt:i4>
      </vt:variant>
      <vt:variant>
        <vt:i4>44</vt:i4>
      </vt:variant>
      <vt:variant>
        <vt:i4>0</vt:i4>
      </vt:variant>
      <vt:variant>
        <vt:i4>5</vt:i4>
      </vt:variant>
      <vt:variant>
        <vt:lpwstr/>
      </vt:variant>
      <vt:variant>
        <vt:lpwstr>_Toc455782397</vt:lpwstr>
      </vt:variant>
      <vt:variant>
        <vt:i4>1966138</vt:i4>
      </vt:variant>
      <vt:variant>
        <vt:i4>38</vt:i4>
      </vt:variant>
      <vt:variant>
        <vt:i4>0</vt:i4>
      </vt:variant>
      <vt:variant>
        <vt:i4>5</vt:i4>
      </vt:variant>
      <vt:variant>
        <vt:lpwstr/>
      </vt:variant>
      <vt:variant>
        <vt:lpwstr>_Toc455782396</vt:lpwstr>
      </vt:variant>
      <vt:variant>
        <vt:i4>1966138</vt:i4>
      </vt:variant>
      <vt:variant>
        <vt:i4>32</vt:i4>
      </vt:variant>
      <vt:variant>
        <vt:i4>0</vt:i4>
      </vt:variant>
      <vt:variant>
        <vt:i4>5</vt:i4>
      </vt:variant>
      <vt:variant>
        <vt:lpwstr/>
      </vt:variant>
      <vt:variant>
        <vt:lpwstr>_Toc455782395</vt:lpwstr>
      </vt:variant>
      <vt:variant>
        <vt:i4>1966138</vt:i4>
      </vt:variant>
      <vt:variant>
        <vt:i4>26</vt:i4>
      </vt:variant>
      <vt:variant>
        <vt:i4>0</vt:i4>
      </vt:variant>
      <vt:variant>
        <vt:i4>5</vt:i4>
      </vt:variant>
      <vt:variant>
        <vt:lpwstr/>
      </vt:variant>
      <vt:variant>
        <vt:lpwstr>_Toc455782394</vt:lpwstr>
      </vt:variant>
      <vt:variant>
        <vt:i4>1966138</vt:i4>
      </vt:variant>
      <vt:variant>
        <vt:i4>20</vt:i4>
      </vt:variant>
      <vt:variant>
        <vt:i4>0</vt:i4>
      </vt:variant>
      <vt:variant>
        <vt:i4>5</vt:i4>
      </vt:variant>
      <vt:variant>
        <vt:lpwstr/>
      </vt:variant>
      <vt:variant>
        <vt:lpwstr>_Toc455782393</vt:lpwstr>
      </vt:variant>
      <vt:variant>
        <vt:i4>1966138</vt:i4>
      </vt:variant>
      <vt:variant>
        <vt:i4>14</vt:i4>
      </vt:variant>
      <vt:variant>
        <vt:i4>0</vt:i4>
      </vt:variant>
      <vt:variant>
        <vt:i4>5</vt:i4>
      </vt:variant>
      <vt:variant>
        <vt:lpwstr/>
      </vt:variant>
      <vt:variant>
        <vt:lpwstr>_Toc455782392</vt:lpwstr>
      </vt:variant>
      <vt:variant>
        <vt:i4>1966138</vt:i4>
      </vt:variant>
      <vt:variant>
        <vt:i4>8</vt:i4>
      </vt:variant>
      <vt:variant>
        <vt:i4>0</vt:i4>
      </vt:variant>
      <vt:variant>
        <vt:i4>5</vt:i4>
      </vt:variant>
      <vt:variant>
        <vt:lpwstr/>
      </vt:variant>
      <vt:variant>
        <vt:lpwstr>_Toc455782391</vt:lpwstr>
      </vt:variant>
      <vt:variant>
        <vt:i4>1966138</vt:i4>
      </vt:variant>
      <vt:variant>
        <vt:i4>2</vt:i4>
      </vt:variant>
      <vt:variant>
        <vt:i4>0</vt:i4>
      </vt:variant>
      <vt:variant>
        <vt:i4>5</vt:i4>
      </vt:variant>
      <vt:variant>
        <vt:lpwstr/>
      </vt:variant>
      <vt:variant>
        <vt:lpwstr>_Toc455782390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LAZIOcrea S.P.A.</dc:title>
  <dc:creator>Anticorruzione e Trasparenza LAZIOcrea</dc:creator>
  <cp:lastModifiedBy>Alessandro Mancini</cp:lastModifiedBy>
  <cp:revision>14</cp:revision>
  <cp:lastPrinted>2018-12-12T08:15:00Z</cp:lastPrinted>
  <dcterms:created xsi:type="dcterms:W3CDTF">2019-03-27T17:42:00Z</dcterms:created>
  <dcterms:modified xsi:type="dcterms:W3CDTF">2019-03-29T08:59:00Z</dcterms:modified>
</cp:coreProperties>
</file>